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t xml:space="preserve">The list below is meant to be a quick reference guide that summarizes the most frequently occurring </w:t>
      </w:r>
      <w:r w:rsidDel="00000000" w:rsidR="00000000" w:rsidRPr="00000000">
        <w:rPr>
          <w:u w:val="single"/>
          <w:rtl w:val="0"/>
        </w:rPr>
        <w:t xml:space="preserve">unallowable</w:t>
      </w:r>
      <w:r w:rsidDel="00000000" w:rsidR="00000000" w:rsidRPr="00000000">
        <w:rPr>
          <w:rtl w:val="0"/>
        </w:rPr>
        <w:t xml:space="preserve"> indirect costs.  This list is not meant to be all inclusive, and it is recommended to review 2 CFR Part 200 when in doubt to obtain additional information.  A cross reference to the Uniform Guidance is cited in the last column to facilitate your research.</w:t>
      </w:r>
    </w:p>
    <w:p w:rsidR="00000000" w:rsidDel="00000000" w:rsidP="00000000" w:rsidRDefault="00000000" w:rsidRPr="00000000" w14:paraId="00000002">
      <w:pPr>
        <w:rPr/>
      </w:pPr>
      <w:r w:rsidDel="00000000" w:rsidR="00000000" w:rsidRPr="00000000">
        <w:rPr>
          <w:rtl w:val="0"/>
        </w:rPr>
      </w:r>
    </w:p>
    <w:tbl>
      <w:tblPr>
        <w:tblStyle w:val="Table1"/>
        <w:tblW w:w="1055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
        <w:gridCol w:w="5670"/>
        <w:gridCol w:w="2520"/>
        <w:gridCol w:w="1901"/>
        <w:tblGridChange w:id="0">
          <w:tblGrid>
            <w:gridCol w:w="468"/>
            <w:gridCol w:w="5670"/>
            <w:gridCol w:w="2520"/>
            <w:gridCol w:w="1901"/>
          </w:tblGrid>
        </w:tblGridChange>
      </w:tblGrid>
      <w:tr>
        <w:tc>
          <w:tcPr>
            <w:shd w:fill="auto" w:val="clear"/>
          </w:tcPr>
          <w:p w:rsidR="00000000" w:rsidDel="00000000" w:rsidP="00000000" w:rsidRDefault="00000000" w:rsidRPr="00000000" w14:paraId="00000003">
            <w:pPr>
              <w:rPr/>
            </w:pPr>
            <w:r w:rsidDel="00000000" w:rsidR="00000000" w:rsidRPr="00000000">
              <w:rPr>
                <w:rtl w:val="0"/>
              </w:rPr>
            </w:r>
          </w:p>
        </w:tc>
        <w:tc>
          <w:tcPr>
            <w:shd w:fill="auto" w:val="clear"/>
          </w:tcPr>
          <w:p w:rsidR="00000000" w:rsidDel="00000000" w:rsidP="00000000" w:rsidRDefault="00000000" w:rsidRPr="00000000" w14:paraId="00000004">
            <w:pPr>
              <w:rPr>
                <w:sz w:val="22"/>
                <w:szCs w:val="22"/>
              </w:rPr>
            </w:pPr>
            <w:r w:rsidDel="00000000" w:rsidR="00000000" w:rsidRPr="00000000">
              <w:rPr>
                <w:rtl w:val="0"/>
              </w:rPr>
            </w:r>
          </w:p>
        </w:tc>
        <w:tc>
          <w:tcPr>
            <w:shd w:fill="auto" w:val="clear"/>
          </w:tcPr>
          <w:p w:rsidR="00000000" w:rsidDel="00000000" w:rsidP="00000000" w:rsidRDefault="00000000" w:rsidRPr="00000000" w14:paraId="00000005">
            <w:pPr>
              <w:jc w:val="center"/>
              <w:rPr>
                <w:b w:val="1"/>
                <w:color w:val="800000"/>
                <w:sz w:val="28"/>
                <w:szCs w:val="28"/>
              </w:rPr>
            </w:pPr>
            <w:r w:rsidDel="00000000" w:rsidR="00000000" w:rsidRPr="00000000">
              <w:rPr>
                <w:b w:val="1"/>
                <w:color w:val="800000"/>
                <w:sz w:val="28"/>
                <w:szCs w:val="28"/>
                <w:rtl w:val="0"/>
              </w:rPr>
              <w:t xml:space="preserve">Reference</w:t>
            </w:r>
          </w:p>
        </w:tc>
        <w:tc>
          <w:tcPr>
            <w:shd w:fill="auto" w:val="clear"/>
          </w:tcPr>
          <w:p w:rsidR="00000000" w:rsidDel="00000000" w:rsidP="00000000" w:rsidRDefault="00000000" w:rsidRPr="00000000" w14:paraId="00000006">
            <w:pPr>
              <w:jc w:val="center"/>
              <w:rPr/>
            </w:pPr>
            <w:r w:rsidDel="00000000" w:rsidR="00000000" w:rsidRPr="00000000">
              <w:rPr>
                <w:b w:val="1"/>
                <w:color w:val="800000"/>
                <w:sz w:val="28"/>
                <w:szCs w:val="28"/>
                <w:rtl w:val="0"/>
              </w:rPr>
              <w:t xml:space="preserve">Reference</w:t>
            </w:r>
            <w:r w:rsidDel="00000000" w:rsidR="00000000" w:rsidRPr="00000000">
              <w:rPr>
                <w:rtl w:val="0"/>
              </w:rPr>
            </w:r>
          </w:p>
        </w:tc>
      </w:tr>
      <w:tr>
        <w:tc>
          <w:tcPr>
            <w:shd w:fill="auto" w:val="clear"/>
          </w:tcPr>
          <w:p w:rsidR="00000000" w:rsidDel="00000000" w:rsidP="00000000" w:rsidRDefault="00000000" w:rsidRPr="00000000" w14:paraId="00000007">
            <w:pPr>
              <w:rPr/>
            </w:pPr>
            <w:r w:rsidDel="00000000" w:rsidR="00000000" w:rsidRPr="00000000">
              <w:rPr>
                <w:rtl w:val="0"/>
              </w:rPr>
            </w:r>
          </w:p>
        </w:tc>
        <w:tc>
          <w:tcPr>
            <w:shd w:fill="auto" w:val="clear"/>
          </w:tcPr>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Cited Unallowable Costs</w:t>
            </w:r>
            <w:r w:rsidDel="00000000" w:rsidR="00000000" w:rsidRPr="00000000">
              <w:rPr>
                <w:rtl w:val="0"/>
              </w:rPr>
            </w:r>
          </w:p>
        </w:tc>
        <w:tc>
          <w:tcPr>
            <w:shd w:fill="auto" w:val="clear"/>
          </w:tcPr>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2 CFR 225</w:t>
            </w:r>
          </w:p>
          <w:p w:rsidR="00000000" w:rsidDel="00000000" w:rsidP="00000000" w:rsidRDefault="00000000" w:rsidRPr="00000000" w14:paraId="0000000C">
            <w:pPr>
              <w:jc w:val="center"/>
              <w:rPr>
                <w:b w:val="1"/>
                <w:sz w:val="16"/>
                <w:szCs w:val="16"/>
              </w:rPr>
            </w:pPr>
            <w:r w:rsidDel="00000000" w:rsidR="00000000" w:rsidRPr="00000000">
              <w:rPr>
                <w:rtl w:val="0"/>
              </w:rPr>
            </w:r>
          </w:p>
        </w:tc>
        <w:tc>
          <w:tcPr>
            <w:shd w:fill="auto" w:val="clear"/>
          </w:tcPr>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rtl w:val="0"/>
              </w:rPr>
              <w:t xml:space="preserve">2 CFR Part 200</w:t>
            </w:r>
          </w:p>
          <w:p w:rsidR="00000000" w:rsidDel="00000000" w:rsidP="00000000" w:rsidRDefault="00000000" w:rsidRPr="00000000" w14:paraId="0000000F">
            <w:pPr>
              <w:jc w:val="center"/>
              <w:rPr>
                <w:b w:val="1"/>
              </w:rPr>
            </w:pPr>
            <w:r w:rsidDel="00000000" w:rsidR="00000000" w:rsidRPr="00000000">
              <w:rPr>
                <w:rtl w:val="0"/>
              </w:rPr>
            </w:r>
          </w:p>
        </w:tc>
      </w:tr>
      <w:tr>
        <w:tc>
          <w:tcPr>
            <w:shd w:fill="auto" w:val="clear"/>
          </w:tcPr>
          <w:p w:rsidR="00000000" w:rsidDel="00000000" w:rsidP="00000000" w:rsidRDefault="00000000" w:rsidRPr="00000000" w14:paraId="00000010">
            <w:pPr>
              <w:rPr/>
            </w:pPr>
            <w:r w:rsidDel="00000000" w:rsidR="00000000" w:rsidRPr="00000000">
              <w:rPr>
                <w:rtl w:val="0"/>
              </w:rPr>
              <w:t xml:space="preserve">  1</w:t>
            </w:r>
          </w:p>
        </w:tc>
        <w:tc>
          <w:tcPr>
            <w:shd w:fill="auto" w:val="clear"/>
          </w:tcPr>
          <w:p w:rsidR="00000000" w:rsidDel="00000000" w:rsidP="00000000" w:rsidRDefault="00000000" w:rsidRPr="00000000" w14:paraId="00000011">
            <w:pPr>
              <w:rPr>
                <w:sz w:val="22"/>
                <w:szCs w:val="22"/>
              </w:rPr>
            </w:pPr>
            <w:r w:rsidDel="00000000" w:rsidR="00000000" w:rsidRPr="00000000">
              <w:rPr>
                <w:sz w:val="22"/>
                <w:szCs w:val="22"/>
                <w:rtl w:val="0"/>
              </w:rPr>
              <w:t xml:space="preserve">Advertising and Public Relations (some costs are allowable under certain circumstances)</w:t>
            </w:r>
          </w:p>
          <w:p w:rsidR="00000000" w:rsidDel="00000000" w:rsidP="00000000" w:rsidRDefault="00000000" w:rsidRPr="00000000" w14:paraId="00000012">
            <w:pPr>
              <w:rPr>
                <w:sz w:val="22"/>
                <w:szCs w:val="22"/>
              </w:rPr>
            </w:pPr>
            <w:r w:rsidDel="00000000" w:rsidR="00000000" w:rsidRPr="00000000">
              <w:rPr>
                <w:rtl w:val="0"/>
              </w:rPr>
            </w:r>
          </w:p>
        </w:tc>
        <w:tc>
          <w:tcPr>
            <w:shd w:fill="auto" w:val="clear"/>
          </w:tcPr>
          <w:p w:rsidR="00000000" w:rsidDel="00000000" w:rsidP="00000000" w:rsidRDefault="00000000" w:rsidRPr="00000000" w14:paraId="00000013">
            <w:pPr>
              <w:jc w:val="center"/>
              <w:rPr>
                <w:sz w:val="22"/>
                <w:szCs w:val="22"/>
              </w:rPr>
            </w:pPr>
            <w:r w:rsidDel="00000000" w:rsidR="00000000" w:rsidRPr="00000000">
              <w:rPr>
                <w:sz w:val="22"/>
                <w:szCs w:val="22"/>
                <w:rtl w:val="0"/>
              </w:rPr>
              <w:t xml:space="preserve">Appendix B.1</w:t>
            </w:r>
          </w:p>
        </w:tc>
        <w:tc>
          <w:tcPr>
            <w:shd w:fill="auto" w:val="clear"/>
          </w:tcPr>
          <w:p w:rsidR="00000000" w:rsidDel="00000000" w:rsidP="00000000" w:rsidRDefault="00000000" w:rsidRPr="00000000" w14:paraId="00000014">
            <w:pPr>
              <w:jc w:val="center"/>
              <w:rPr/>
            </w:pPr>
            <w:r w:rsidDel="00000000" w:rsidR="00000000" w:rsidRPr="00000000">
              <w:rPr>
                <w:rtl w:val="0"/>
              </w:rPr>
              <w:t xml:space="preserve">200.421</w:t>
            </w:r>
          </w:p>
        </w:tc>
      </w:tr>
      <w:tr>
        <w:tc>
          <w:tcPr>
            <w:shd w:fill="auto" w:val="clear"/>
          </w:tcPr>
          <w:p w:rsidR="00000000" w:rsidDel="00000000" w:rsidP="00000000" w:rsidRDefault="00000000" w:rsidRPr="00000000" w14:paraId="00000015">
            <w:pPr>
              <w:rPr/>
            </w:pPr>
            <w:r w:rsidDel="00000000" w:rsidR="00000000" w:rsidRPr="00000000">
              <w:rPr>
                <w:rtl w:val="0"/>
              </w:rPr>
              <w:t xml:space="preserve">  2</w:t>
            </w:r>
          </w:p>
        </w:tc>
        <w:tc>
          <w:tcPr>
            <w:shd w:fill="auto" w:val="clear"/>
          </w:tcPr>
          <w:p w:rsidR="00000000" w:rsidDel="00000000" w:rsidP="00000000" w:rsidRDefault="00000000" w:rsidRPr="00000000" w14:paraId="00000016">
            <w:pPr>
              <w:rPr>
                <w:sz w:val="22"/>
                <w:szCs w:val="22"/>
              </w:rPr>
            </w:pPr>
            <w:r w:rsidDel="00000000" w:rsidR="00000000" w:rsidRPr="00000000">
              <w:rPr>
                <w:sz w:val="22"/>
                <w:szCs w:val="22"/>
                <w:rtl w:val="0"/>
              </w:rPr>
              <w:t xml:space="preserve">Alcoholic Beverages</w:t>
            </w:r>
          </w:p>
          <w:p w:rsidR="00000000" w:rsidDel="00000000" w:rsidP="00000000" w:rsidRDefault="00000000" w:rsidRPr="00000000" w14:paraId="00000017">
            <w:pPr>
              <w:rPr>
                <w:sz w:val="22"/>
                <w:szCs w:val="22"/>
              </w:rPr>
            </w:pPr>
            <w:r w:rsidDel="00000000" w:rsidR="00000000" w:rsidRPr="00000000">
              <w:rPr>
                <w:rtl w:val="0"/>
              </w:rPr>
            </w:r>
          </w:p>
        </w:tc>
        <w:tc>
          <w:tcPr>
            <w:shd w:fill="auto" w:val="clear"/>
          </w:tcPr>
          <w:p w:rsidR="00000000" w:rsidDel="00000000" w:rsidP="00000000" w:rsidRDefault="00000000" w:rsidRPr="00000000" w14:paraId="00000018">
            <w:pPr>
              <w:jc w:val="center"/>
              <w:rPr>
                <w:sz w:val="22"/>
                <w:szCs w:val="22"/>
              </w:rPr>
            </w:pPr>
            <w:r w:rsidDel="00000000" w:rsidR="00000000" w:rsidRPr="00000000">
              <w:rPr>
                <w:sz w:val="22"/>
                <w:szCs w:val="22"/>
                <w:rtl w:val="0"/>
              </w:rPr>
              <w:t xml:space="preserve">Appendix B.3</w:t>
            </w:r>
          </w:p>
        </w:tc>
        <w:tc>
          <w:tcPr>
            <w:shd w:fill="auto" w:val="clear"/>
          </w:tcPr>
          <w:p w:rsidR="00000000" w:rsidDel="00000000" w:rsidP="00000000" w:rsidRDefault="00000000" w:rsidRPr="00000000" w14:paraId="00000019">
            <w:pPr>
              <w:jc w:val="center"/>
              <w:rPr/>
            </w:pPr>
            <w:r w:rsidDel="00000000" w:rsidR="00000000" w:rsidRPr="00000000">
              <w:rPr>
                <w:rtl w:val="0"/>
              </w:rPr>
              <w:t xml:space="preserve">200.423</w:t>
            </w:r>
          </w:p>
        </w:tc>
      </w:tr>
      <w:tr>
        <w:tc>
          <w:tcPr>
            <w:shd w:fill="auto" w:val="clear"/>
          </w:tcPr>
          <w:p w:rsidR="00000000" w:rsidDel="00000000" w:rsidP="00000000" w:rsidRDefault="00000000" w:rsidRPr="00000000" w14:paraId="0000001A">
            <w:pPr>
              <w:rPr/>
            </w:pPr>
            <w:r w:rsidDel="00000000" w:rsidR="00000000" w:rsidRPr="00000000">
              <w:rPr>
                <w:rtl w:val="0"/>
              </w:rPr>
              <w:t xml:space="preserve">  3</w:t>
            </w:r>
          </w:p>
        </w:tc>
        <w:tc>
          <w:tcPr>
            <w:shd w:fill="auto" w:val="clear"/>
          </w:tcPr>
          <w:p w:rsidR="00000000" w:rsidDel="00000000" w:rsidP="00000000" w:rsidRDefault="00000000" w:rsidRPr="00000000" w14:paraId="0000001B">
            <w:pPr>
              <w:rPr>
                <w:sz w:val="22"/>
                <w:szCs w:val="22"/>
              </w:rPr>
            </w:pPr>
            <w:r w:rsidDel="00000000" w:rsidR="00000000" w:rsidRPr="00000000">
              <w:rPr>
                <w:sz w:val="22"/>
                <w:szCs w:val="22"/>
                <w:rtl w:val="0"/>
              </w:rPr>
              <w:t xml:space="preserve">Bad Debts</w:t>
            </w:r>
          </w:p>
          <w:p w:rsidR="00000000" w:rsidDel="00000000" w:rsidP="00000000" w:rsidRDefault="00000000" w:rsidRPr="00000000" w14:paraId="0000001C">
            <w:pPr>
              <w:rPr>
                <w:sz w:val="22"/>
                <w:szCs w:val="22"/>
              </w:rPr>
            </w:pPr>
            <w:r w:rsidDel="00000000" w:rsidR="00000000" w:rsidRPr="00000000">
              <w:rPr>
                <w:rtl w:val="0"/>
              </w:rPr>
            </w:r>
          </w:p>
        </w:tc>
        <w:tc>
          <w:tcPr>
            <w:shd w:fill="auto" w:val="clear"/>
          </w:tcPr>
          <w:p w:rsidR="00000000" w:rsidDel="00000000" w:rsidP="00000000" w:rsidRDefault="00000000" w:rsidRPr="00000000" w14:paraId="0000001D">
            <w:pPr>
              <w:jc w:val="center"/>
              <w:rPr>
                <w:sz w:val="22"/>
                <w:szCs w:val="22"/>
              </w:rPr>
            </w:pPr>
            <w:r w:rsidDel="00000000" w:rsidR="00000000" w:rsidRPr="00000000">
              <w:rPr>
                <w:sz w:val="22"/>
                <w:szCs w:val="22"/>
                <w:rtl w:val="0"/>
              </w:rPr>
              <w:t xml:space="preserve">Appendix B.5</w:t>
            </w:r>
          </w:p>
        </w:tc>
        <w:tc>
          <w:tcPr>
            <w:shd w:fill="auto" w:val="clear"/>
          </w:tcPr>
          <w:p w:rsidR="00000000" w:rsidDel="00000000" w:rsidP="00000000" w:rsidRDefault="00000000" w:rsidRPr="00000000" w14:paraId="0000001E">
            <w:pPr>
              <w:jc w:val="center"/>
              <w:rPr/>
            </w:pPr>
            <w:r w:rsidDel="00000000" w:rsidR="00000000" w:rsidRPr="00000000">
              <w:rPr>
                <w:rtl w:val="0"/>
              </w:rPr>
              <w:t xml:space="preserve">200.426</w:t>
            </w:r>
          </w:p>
        </w:tc>
      </w:tr>
      <w:tr>
        <w:tc>
          <w:tcPr>
            <w:shd w:fill="auto" w:val="clear"/>
          </w:tcPr>
          <w:p w:rsidR="00000000" w:rsidDel="00000000" w:rsidP="00000000" w:rsidRDefault="00000000" w:rsidRPr="00000000" w14:paraId="0000001F">
            <w:pPr>
              <w:rPr/>
            </w:pPr>
            <w:r w:rsidDel="00000000" w:rsidR="00000000" w:rsidRPr="00000000">
              <w:rPr>
                <w:rtl w:val="0"/>
              </w:rPr>
              <w:t xml:space="preserve">  4</w:t>
            </w:r>
          </w:p>
        </w:tc>
        <w:tc>
          <w:tcPr>
            <w:shd w:fill="auto" w:val="clear"/>
          </w:tcPr>
          <w:p w:rsidR="00000000" w:rsidDel="00000000" w:rsidP="00000000" w:rsidRDefault="00000000" w:rsidRPr="00000000" w14:paraId="00000020">
            <w:pPr>
              <w:rPr>
                <w:sz w:val="22"/>
                <w:szCs w:val="22"/>
              </w:rPr>
            </w:pPr>
            <w:r w:rsidDel="00000000" w:rsidR="00000000" w:rsidRPr="00000000">
              <w:rPr>
                <w:sz w:val="22"/>
                <w:szCs w:val="22"/>
                <w:rtl w:val="0"/>
              </w:rPr>
              <w:t xml:space="preserve">Capital equipment</w:t>
            </w:r>
          </w:p>
        </w:tc>
        <w:tc>
          <w:tcPr>
            <w:shd w:fill="auto" w:val="clear"/>
          </w:tcPr>
          <w:p w:rsidR="00000000" w:rsidDel="00000000" w:rsidP="00000000" w:rsidRDefault="00000000" w:rsidRPr="00000000" w14:paraId="00000021">
            <w:pPr>
              <w:jc w:val="center"/>
              <w:rPr>
                <w:sz w:val="22"/>
                <w:szCs w:val="22"/>
              </w:rPr>
            </w:pPr>
            <w:r w:rsidDel="00000000" w:rsidR="00000000" w:rsidRPr="00000000">
              <w:rPr>
                <w:sz w:val="22"/>
                <w:szCs w:val="22"/>
                <w:rtl w:val="0"/>
              </w:rPr>
              <w:t xml:space="preserve">Appendix B.15.b.(5) &amp; Appendix E.C.2.b.</w:t>
            </w:r>
          </w:p>
        </w:tc>
        <w:tc>
          <w:tcPr>
            <w:shd w:fill="auto" w:val="clear"/>
          </w:tcPr>
          <w:p w:rsidR="00000000" w:rsidDel="00000000" w:rsidP="00000000" w:rsidRDefault="00000000" w:rsidRPr="00000000" w14:paraId="00000022">
            <w:pPr>
              <w:jc w:val="center"/>
              <w:rPr/>
            </w:pPr>
            <w:r w:rsidDel="00000000" w:rsidR="00000000" w:rsidRPr="00000000">
              <w:rPr>
                <w:rtl w:val="0"/>
              </w:rPr>
              <w:t xml:space="preserve">200.439</w:t>
            </w:r>
          </w:p>
        </w:tc>
      </w:tr>
      <w:tr>
        <w:tc>
          <w:tcPr>
            <w:shd w:fill="auto" w:val="clear"/>
          </w:tcPr>
          <w:p w:rsidR="00000000" w:rsidDel="00000000" w:rsidP="00000000" w:rsidRDefault="00000000" w:rsidRPr="00000000" w14:paraId="00000023">
            <w:pPr>
              <w:rPr/>
            </w:pPr>
            <w:r w:rsidDel="00000000" w:rsidR="00000000" w:rsidRPr="00000000">
              <w:rPr>
                <w:rtl w:val="0"/>
              </w:rPr>
              <w:t xml:space="preserve">  5</w:t>
            </w:r>
          </w:p>
        </w:tc>
        <w:tc>
          <w:tcPr>
            <w:shd w:fill="auto" w:val="clear"/>
          </w:tcPr>
          <w:p w:rsidR="00000000" w:rsidDel="00000000" w:rsidP="00000000" w:rsidRDefault="00000000" w:rsidRPr="00000000" w14:paraId="00000024">
            <w:pPr>
              <w:rPr>
                <w:sz w:val="22"/>
                <w:szCs w:val="22"/>
              </w:rPr>
            </w:pPr>
            <w:r w:rsidDel="00000000" w:rsidR="00000000" w:rsidRPr="00000000">
              <w:rPr>
                <w:sz w:val="22"/>
                <w:szCs w:val="22"/>
                <w:rtl w:val="0"/>
              </w:rPr>
              <w:t xml:space="preserve">Contributions and Donations </w:t>
            </w:r>
          </w:p>
          <w:p w:rsidR="00000000" w:rsidDel="00000000" w:rsidP="00000000" w:rsidRDefault="00000000" w:rsidRPr="00000000" w14:paraId="00000025">
            <w:pPr>
              <w:rPr>
                <w:sz w:val="22"/>
                <w:szCs w:val="22"/>
              </w:rPr>
            </w:pPr>
            <w:r w:rsidDel="00000000" w:rsidR="00000000" w:rsidRPr="00000000">
              <w:rPr>
                <w:rtl w:val="0"/>
              </w:rPr>
            </w:r>
          </w:p>
        </w:tc>
        <w:tc>
          <w:tcPr>
            <w:shd w:fill="auto" w:val="clear"/>
          </w:tcPr>
          <w:p w:rsidR="00000000" w:rsidDel="00000000" w:rsidP="00000000" w:rsidRDefault="00000000" w:rsidRPr="00000000" w14:paraId="00000026">
            <w:pPr>
              <w:jc w:val="center"/>
              <w:rPr>
                <w:sz w:val="22"/>
                <w:szCs w:val="22"/>
              </w:rPr>
            </w:pPr>
            <w:r w:rsidDel="00000000" w:rsidR="00000000" w:rsidRPr="00000000">
              <w:rPr>
                <w:sz w:val="22"/>
                <w:szCs w:val="22"/>
                <w:rtl w:val="0"/>
              </w:rPr>
              <w:t xml:space="preserve">Appendix B.12</w:t>
            </w:r>
          </w:p>
        </w:tc>
        <w:tc>
          <w:tcPr>
            <w:shd w:fill="auto" w:val="clear"/>
          </w:tcPr>
          <w:p w:rsidR="00000000" w:rsidDel="00000000" w:rsidP="00000000" w:rsidRDefault="00000000" w:rsidRPr="00000000" w14:paraId="00000027">
            <w:pPr>
              <w:jc w:val="center"/>
              <w:rPr/>
            </w:pPr>
            <w:r w:rsidDel="00000000" w:rsidR="00000000" w:rsidRPr="00000000">
              <w:rPr>
                <w:rtl w:val="0"/>
              </w:rPr>
              <w:t xml:space="preserve">200.434</w:t>
            </w:r>
          </w:p>
        </w:tc>
      </w:tr>
      <w:tr>
        <w:tc>
          <w:tcPr>
            <w:shd w:fill="auto" w:val="clear"/>
          </w:tcPr>
          <w:p w:rsidR="00000000" w:rsidDel="00000000" w:rsidP="00000000" w:rsidRDefault="00000000" w:rsidRPr="00000000" w14:paraId="00000028">
            <w:pPr>
              <w:rPr/>
            </w:pPr>
            <w:r w:rsidDel="00000000" w:rsidR="00000000" w:rsidRPr="00000000">
              <w:rPr>
                <w:rtl w:val="0"/>
              </w:rPr>
              <w:t xml:space="preserve">  6</w:t>
            </w:r>
          </w:p>
        </w:tc>
        <w:tc>
          <w:tcPr>
            <w:shd w:fill="auto" w:val="clear"/>
          </w:tcPr>
          <w:p w:rsidR="00000000" w:rsidDel="00000000" w:rsidP="00000000" w:rsidRDefault="00000000" w:rsidRPr="00000000" w14:paraId="00000029">
            <w:pPr>
              <w:rPr>
                <w:sz w:val="22"/>
                <w:szCs w:val="22"/>
              </w:rPr>
            </w:pPr>
            <w:r w:rsidDel="00000000" w:rsidR="00000000" w:rsidRPr="00000000">
              <w:rPr>
                <w:sz w:val="22"/>
                <w:szCs w:val="22"/>
                <w:rtl w:val="0"/>
              </w:rPr>
              <w:t xml:space="preserve">Donated Services</w:t>
            </w:r>
          </w:p>
          <w:p w:rsidR="00000000" w:rsidDel="00000000" w:rsidP="00000000" w:rsidRDefault="00000000" w:rsidRPr="00000000" w14:paraId="0000002A">
            <w:pPr>
              <w:rPr>
                <w:sz w:val="22"/>
                <w:szCs w:val="22"/>
              </w:rPr>
            </w:pPr>
            <w:r w:rsidDel="00000000" w:rsidR="00000000" w:rsidRPr="00000000">
              <w:rPr>
                <w:rtl w:val="0"/>
              </w:rPr>
            </w:r>
          </w:p>
        </w:tc>
        <w:tc>
          <w:tcPr>
            <w:shd w:fill="auto" w:val="clear"/>
          </w:tcPr>
          <w:p w:rsidR="00000000" w:rsidDel="00000000" w:rsidP="00000000" w:rsidRDefault="00000000" w:rsidRPr="00000000" w14:paraId="0000002B">
            <w:pPr>
              <w:jc w:val="center"/>
              <w:rPr>
                <w:sz w:val="22"/>
                <w:szCs w:val="22"/>
              </w:rPr>
            </w:pPr>
            <w:r w:rsidDel="00000000" w:rsidR="00000000" w:rsidRPr="00000000">
              <w:rPr>
                <w:sz w:val="22"/>
                <w:szCs w:val="22"/>
                <w:rtl w:val="0"/>
              </w:rPr>
              <w:t xml:space="preserve">Appendix B.8.i</w:t>
            </w:r>
          </w:p>
        </w:tc>
        <w:tc>
          <w:tcPr>
            <w:shd w:fill="auto" w:val="clear"/>
          </w:tcPr>
          <w:p w:rsidR="00000000" w:rsidDel="00000000" w:rsidP="00000000" w:rsidRDefault="00000000" w:rsidRPr="00000000" w14:paraId="0000002C">
            <w:pPr>
              <w:jc w:val="center"/>
              <w:rPr/>
            </w:pPr>
            <w:r w:rsidDel="00000000" w:rsidR="00000000" w:rsidRPr="00000000">
              <w:rPr>
                <w:rtl w:val="0"/>
              </w:rPr>
              <w:t xml:space="preserve">200.434</w:t>
            </w:r>
          </w:p>
        </w:tc>
      </w:tr>
      <w:tr>
        <w:tc>
          <w:tcPr>
            <w:shd w:fill="auto" w:val="clear"/>
          </w:tcPr>
          <w:p w:rsidR="00000000" w:rsidDel="00000000" w:rsidP="00000000" w:rsidRDefault="00000000" w:rsidRPr="00000000" w14:paraId="0000002D">
            <w:pPr>
              <w:rPr/>
            </w:pPr>
            <w:r w:rsidDel="00000000" w:rsidR="00000000" w:rsidRPr="00000000">
              <w:rPr>
                <w:rtl w:val="0"/>
              </w:rPr>
              <w:t xml:space="preserve">  7</w:t>
            </w:r>
          </w:p>
        </w:tc>
        <w:tc>
          <w:tcPr>
            <w:shd w:fill="auto" w:val="clear"/>
          </w:tcPr>
          <w:p w:rsidR="00000000" w:rsidDel="00000000" w:rsidP="00000000" w:rsidRDefault="00000000" w:rsidRPr="00000000" w14:paraId="0000002E">
            <w:pPr>
              <w:rPr>
                <w:sz w:val="22"/>
                <w:szCs w:val="22"/>
              </w:rPr>
            </w:pPr>
            <w:r w:rsidDel="00000000" w:rsidR="00000000" w:rsidRPr="00000000">
              <w:rPr>
                <w:sz w:val="22"/>
                <w:szCs w:val="22"/>
                <w:rtl w:val="0"/>
              </w:rPr>
              <w:t xml:space="preserve">Entertainment</w:t>
            </w:r>
          </w:p>
          <w:p w:rsidR="00000000" w:rsidDel="00000000" w:rsidP="00000000" w:rsidRDefault="00000000" w:rsidRPr="00000000" w14:paraId="0000002F">
            <w:pPr>
              <w:rPr>
                <w:sz w:val="22"/>
                <w:szCs w:val="22"/>
              </w:rPr>
            </w:pPr>
            <w:r w:rsidDel="00000000" w:rsidR="00000000" w:rsidRPr="00000000">
              <w:rPr>
                <w:rtl w:val="0"/>
              </w:rPr>
            </w:r>
          </w:p>
        </w:tc>
        <w:tc>
          <w:tcPr>
            <w:shd w:fill="auto" w:val="clear"/>
          </w:tcPr>
          <w:p w:rsidR="00000000" w:rsidDel="00000000" w:rsidP="00000000" w:rsidRDefault="00000000" w:rsidRPr="00000000" w14:paraId="00000030">
            <w:pPr>
              <w:jc w:val="center"/>
              <w:rPr>
                <w:sz w:val="22"/>
                <w:szCs w:val="22"/>
              </w:rPr>
            </w:pPr>
            <w:r w:rsidDel="00000000" w:rsidR="00000000" w:rsidRPr="00000000">
              <w:rPr>
                <w:sz w:val="22"/>
                <w:szCs w:val="22"/>
                <w:rtl w:val="0"/>
              </w:rPr>
              <w:t xml:space="preserve">Appendix B.14</w:t>
            </w:r>
          </w:p>
        </w:tc>
        <w:tc>
          <w:tcPr>
            <w:shd w:fill="auto" w:val="clear"/>
          </w:tcPr>
          <w:p w:rsidR="00000000" w:rsidDel="00000000" w:rsidP="00000000" w:rsidRDefault="00000000" w:rsidRPr="00000000" w14:paraId="00000031">
            <w:pPr>
              <w:jc w:val="center"/>
              <w:rPr/>
            </w:pPr>
            <w:r w:rsidDel="00000000" w:rsidR="00000000" w:rsidRPr="00000000">
              <w:rPr>
                <w:rtl w:val="0"/>
              </w:rPr>
              <w:t xml:space="preserve">200.438</w:t>
            </w:r>
          </w:p>
        </w:tc>
      </w:tr>
      <w:tr>
        <w:tc>
          <w:tcPr>
            <w:shd w:fill="auto" w:val="clear"/>
          </w:tcPr>
          <w:p w:rsidR="00000000" w:rsidDel="00000000" w:rsidP="00000000" w:rsidRDefault="00000000" w:rsidRPr="00000000" w14:paraId="00000032">
            <w:pPr>
              <w:rPr/>
            </w:pPr>
            <w:r w:rsidDel="00000000" w:rsidR="00000000" w:rsidRPr="00000000">
              <w:rPr>
                <w:rtl w:val="0"/>
              </w:rPr>
              <w:t xml:space="preserve">  8</w:t>
            </w:r>
          </w:p>
        </w:tc>
        <w:tc>
          <w:tcPr>
            <w:shd w:fill="auto" w:val="clear"/>
          </w:tcPr>
          <w:p w:rsidR="00000000" w:rsidDel="00000000" w:rsidP="00000000" w:rsidRDefault="00000000" w:rsidRPr="00000000" w14:paraId="00000033">
            <w:pPr>
              <w:rPr>
                <w:sz w:val="22"/>
                <w:szCs w:val="22"/>
              </w:rPr>
            </w:pPr>
            <w:r w:rsidDel="00000000" w:rsidR="00000000" w:rsidRPr="00000000">
              <w:rPr>
                <w:sz w:val="22"/>
                <w:szCs w:val="22"/>
                <w:rtl w:val="0"/>
              </w:rPr>
              <w:t xml:space="preserve">Fines and Penalties</w:t>
            </w:r>
          </w:p>
          <w:p w:rsidR="00000000" w:rsidDel="00000000" w:rsidP="00000000" w:rsidRDefault="00000000" w:rsidRPr="00000000" w14:paraId="00000034">
            <w:pPr>
              <w:rPr>
                <w:sz w:val="22"/>
                <w:szCs w:val="22"/>
              </w:rPr>
            </w:pPr>
            <w:r w:rsidDel="00000000" w:rsidR="00000000" w:rsidRPr="00000000">
              <w:rPr>
                <w:rtl w:val="0"/>
              </w:rPr>
            </w:r>
          </w:p>
        </w:tc>
        <w:tc>
          <w:tcPr>
            <w:shd w:fill="auto" w:val="clear"/>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Appendix B.16</w:t>
            </w:r>
          </w:p>
        </w:tc>
        <w:tc>
          <w:tcPr>
            <w:shd w:fill="auto" w:val="clear"/>
          </w:tcPr>
          <w:p w:rsidR="00000000" w:rsidDel="00000000" w:rsidP="00000000" w:rsidRDefault="00000000" w:rsidRPr="00000000" w14:paraId="00000036">
            <w:pPr>
              <w:jc w:val="center"/>
              <w:rPr/>
            </w:pPr>
            <w:r w:rsidDel="00000000" w:rsidR="00000000" w:rsidRPr="00000000">
              <w:rPr>
                <w:rtl w:val="0"/>
              </w:rPr>
              <w:t xml:space="preserve">200.441</w:t>
            </w:r>
          </w:p>
        </w:tc>
      </w:tr>
      <w:tr>
        <w:tc>
          <w:tcPr>
            <w:shd w:fill="auto" w:val="clear"/>
          </w:tcPr>
          <w:p w:rsidR="00000000" w:rsidDel="00000000" w:rsidP="00000000" w:rsidRDefault="00000000" w:rsidRPr="00000000" w14:paraId="00000037">
            <w:pPr>
              <w:rPr>
                <w:sz w:val="22"/>
                <w:szCs w:val="22"/>
              </w:rPr>
            </w:pPr>
            <w:r w:rsidDel="00000000" w:rsidR="00000000" w:rsidRPr="00000000">
              <w:rPr>
                <w:sz w:val="22"/>
                <w:szCs w:val="22"/>
                <w:rtl w:val="0"/>
              </w:rPr>
              <w:t xml:space="preserve">  9</w:t>
            </w:r>
          </w:p>
        </w:tc>
        <w:tc>
          <w:tcPr>
            <w:shd w:fill="auto" w:val="clear"/>
          </w:tcPr>
          <w:p w:rsidR="00000000" w:rsidDel="00000000" w:rsidP="00000000" w:rsidRDefault="00000000" w:rsidRPr="00000000" w14:paraId="00000038">
            <w:pPr>
              <w:rPr>
                <w:sz w:val="22"/>
                <w:szCs w:val="22"/>
              </w:rPr>
            </w:pPr>
            <w:r w:rsidDel="00000000" w:rsidR="00000000" w:rsidRPr="00000000">
              <w:rPr>
                <w:sz w:val="22"/>
                <w:szCs w:val="22"/>
                <w:rtl w:val="0"/>
              </w:rPr>
              <w:t xml:space="preserve">Fundraising and Investment Management costs</w:t>
            </w:r>
          </w:p>
          <w:p w:rsidR="00000000" w:rsidDel="00000000" w:rsidP="00000000" w:rsidRDefault="00000000" w:rsidRPr="00000000" w14:paraId="00000039">
            <w:pPr>
              <w:rPr>
                <w:sz w:val="22"/>
                <w:szCs w:val="22"/>
              </w:rPr>
            </w:pPr>
            <w:r w:rsidDel="00000000" w:rsidR="00000000" w:rsidRPr="00000000">
              <w:rPr>
                <w:rtl w:val="0"/>
              </w:rPr>
            </w:r>
          </w:p>
        </w:tc>
        <w:tc>
          <w:tcPr>
            <w:shd w:fill="auto" w:val="clear"/>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Appendix B.17</w:t>
            </w:r>
          </w:p>
        </w:tc>
        <w:tc>
          <w:tcPr>
            <w:shd w:fill="auto" w:val="clear"/>
          </w:tcPr>
          <w:p w:rsidR="00000000" w:rsidDel="00000000" w:rsidP="00000000" w:rsidRDefault="00000000" w:rsidRPr="00000000" w14:paraId="0000003B">
            <w:pPr>
              <w:jc w:val="center"/>
              <w:rPr/>
            </w:pPr>
            <w:r w:rsidDel="00000000" w:rsidR="00000000" w:rsidRPr="00000000">
              <w:rPr>
                <w:rtl w:val="0"/>
              </w:rPr>
              <w:t xml:space="preserve">200.442</w:t>
            </w:r>
          </w:p>
        </w:tc>
      </w:tr>
      <w:tr>
        <w:tc>
          <w:tcPr>
            <w:shd w:fill="auto" w:val="clear"/>
          </w:tcPr>
          <w:p w:rsidR="00000000" w:rsidDel="00000000" w:rsidP="00000000" w:rsidRDefault="00000000" w:rsidRPr="00000000" w14:paraId="0000003C">
            <w:pPr>
              <w:rPr/>
            </w:pPr>
            <w:r w:rsidDel="00000000" w:rsidR="00000000" w:rsidRPr="00000000">
              <w:rPr>
                <w:rtl w:val="0"/>
              </w:rPr>
              <w:t xml:space="preserve">10</w:t>
            </w:r>
          </w:p>
        </w:tc>
        <w:tc>
          <w:tcPr>
            <w:shd w:fill="auto" w:val="clear"/>
          </w:tcPr>
          <w:p w:rsidR="00000000" w:rsidDel="00000000" w:rsidP="00000000" w:rsidRDefault="00000000" w:rsidRPr="00000000" w14:paraId="0000003D">
            <w:pPr>
              <w:rPr>
                <w:sz w:val="22"/>
                <w:szCs w:val="22"/>
              </w:rPr>
            </w:pPr>
            <w:r w:rsidDel="00000000" w:rsidR="00000000" w:rsidRPr="00000000">
              <w:rPr>
                <w:sz w:val="22"/>
                <w:szCs w:val="22"/>
                <w:rtl w:val="0"/>
              </w:rPr>
              <w:t xml:space="preserve">General Government Expenses – Tribal council</w:t>
            </w: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rtl w:val="0"/>
              </w:rPr>
            </w:r>
          </w:p>
          <w:p w:rsidR="00000000" w:rsidDel="00000000" w:rsidP="00000000" w:rsidRDefault="00000000" w:rsidRPr="00000000" w14:paraId="0000003E">
            <w:pPr>
              <w:numPr>
                <w:ilvl w:val="0"/>
                <w:numId w:val="1"/>
              </w:numPr>
              <w:ind w:left="720" w:hanging="360"/>
              <w:rPr>
                <w:sz w:val="22"/>
                <w:szCs w:val="22"/>
              </w:rPr>
            </w:pPr>
            <w:r w:rsidDel="00000000" w:rsidR="00000000" w:rsidRPr="00000000">
              <w:rPr>
                <w:rFonts w:ascii="Helvetica Neue" w:cs="Helvetica Neue" w:eastAsia="Helvetica Neue" w:hAnsi="Helvetica Neue"/>
                <w:color w:val="000000"/>
                <w:sz w:val="20"/>
                <w:szCs w:val="20"/>
                <w:rtl w:val="0"/>
              </w:rPr>
              <w:t xml:space="preserve">For federally- recognized Indian tribal governments and Councils of Governments, up to 50 percent of the portion of salaries and expenses </w:t>
            </w:r>
            <w:r w:rsidDel="00000000" w:rsidR="00000000" w:rsidRPr="00000000">
              <w:rPr>
                <w:rFonts w:ascii="Helvetica Neue" w:cs="Helvetica Neue" w:eastAsia="Helvetica Neue" w:hAnsi="Helvetica Neue"/>
                <w:color w:val="000000"/>
                <w:sz w:val="20"/>
                <w:szCs w:val="20"/>
                <w:u w:val="single"/>
                <w:rtl w:val="0"/>
              </w:rPr>
              <w:t xml:space="preserve">directly attributable to managing and operating Federal programs</w:t>
            </w:r>
            <w:r w:rsidDel="00000000" w:rsidR="00000000" w:rsidRPr="00000000">
              <w:rPr>
                <w:rFonts w:ascii="Helvetica Neue" w:cs="Helvetica Neue" w:eastAsia="Helvetica Neue" w:hAnsi="Helvetica Neue"/>
                <w:color w:val="000000"/>
                <w:sz w:val="20"/>
                <w:szCs w:val="20"/>
                <w:rtl w:val="0"/>
              </w:rPr>
              <w:t xml:space="preserve"> by the chief executive and his staff, including the tribal council.  This presumes that tribes can document these reported costs if necessary for an audit and does not, in that sense, provide blanket approval of the reported costs.  In order to justify more than 50 percent, tribes will be required to submit documented proof for the amounts of their general government expenses that exceed 50 percent.  Salaries should be documented by certified payroll or other verifiable means.</w:t>
            </w: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rtl w:val="0"/>
              </w:rPr>
            </w:r>
          </w:p>
        </w:tc>
        <w:tc>
          <w:tcPr>
            <w:shd w:fill="auto" w:val="clear"/>
          </w:tcPr>
          <w:p w:rsidR="00000000" w:rsidDel="00000000" w:rsidP="00000000" w:rsidRDefault="00000000" w:rsidRPr="00000000" w14:paraId="00000040">
            <w:pPr>
              <w:jc w:val="center"/>
              <w:rPr>
                <w:sz w:val="22"/>
                <w:szCs w:val="22"/>
              </w:rPr>
            </w:pPr>
            <w:r w:rsidDel="00000000" w:rsidR="00000000" w:rsidRPr="00000000">
              <w:rPr>
                <w:rtl w:val="0"/>
              </w:rPr>
            </w:r>
          </w:p>
          <w:p w:rsidR="00000000" w:rsidDel="00000000" w:rsidP="00000000" w:rsidRDefault="00000000" w:rsidRPr="00000000" w14:paraId="00000041">
            <w:pPr>
              <w:jc w:val="center"/>
              <w:rPr>
                <w:sz w:val="22"/>
                <w:szCs w:val="22"/>
              </w:rPr>
            </w:pPr>
            <w:r w:rsidDel="00000000" w:rsidR="00000000" w:rsidRPr="00000000">
              <w:rPr>
                <w:sz w:val="22"/>
                <w:szCs w:val="22"/>
                <w:rtl w:val="0"/>
              </w:rPr>
              <w:t xml:space="preserve">Appendix B.19</w:t>
            </w:r>
          </w:p>
          <w:p w:rsidR="00000000" w:rsidDel="00000000" w:rsidP="00000000" w:rsidRDefault="00000000" w:rsidRPr="00000000" w14:paraId="00000042">
            <w:pPr>
              <w:jc w:val="center"/>
              <w:rPr>
                <w:color w:val="0000ff"/>
                <w:sz w:val="22"/>
                <w:szCs w:val="22"/>
              </w:rPr>
            </w:pPr>
            <w:r w:rsidDel="00000000" w:rsidR="00000000" w:rsidRPr="00000000">
              <w:rPr>
                <w:rtl w:val="0"/>
              </w:rPr>
            </w:r>
          </w:p>
        </w:tc>
        <w:tc>
          <w:tcPr>
            <w:shd w:fill="auto" w:val="clear"/>
          </w:tcPr>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t xml:space="preserve">200.444</w:t>
            </w:r>
          </w:p>
        </w:tc>
      </w:tr>
      <w:tr>
        <w:tc>
          <w:tcPr>
            <w:shd w:fill="auto" w:val="clear"/>
          </w:tcPr>
          <w:p w:rsidR="00000000" w:rsidDel="00000000" w:rsidP="00000000" w:rsidRDefault="00000000" w:rsidRPr="00000000" w14:paraId="00000045">
            <w:pPr>
              <w:rPr/>
            </w:pPr>
            <w:r w:rsidDel="00000000" w:rsidR="00000000" w:rsidRPr="00000000">
              <w:rPr>
                <w:rtl w:val="0"/>
              </w:rPr>
              <w:t xml:space="preserve">11</w:t>
            </w:r>
          </w:p>
        </w:tc>
        <w:tc>
          <w:tcPr>
            <w:shd w:fill="auto" w:val="clear"/>
          </w:tcPr>
          <w:p w:rsidR="00000000" w:rsidDel="00000000" w:rsidP="00000000" w:rsidRDefault="00000000" w:rsidRPr="00000000" w14:paraId="00000046">
            <w:pPr>
              <w:rPr>
                <w:sz w:val="22"/>
                <w:szCs w:val="22"/>
              </w:rPr>
            </w:pPr>
            <w:r w:rsidDel="00000000" w:rsidR="00000000" w:rsidRPr="00000000">
              <w:rPr>
                <w:sz w:val="22"/>
                <w:szCs w:val="22"/>
                <w:rtl w:val="0"/>
              </w:rPr>
              <w:t xml:space="preserve">General Government Expenses-Other—including expenses of the judiciary, tribal court, enrollment and election, police and fire services.</w:t>
            </w:r>
          </w:p>
          <w:p w:rsidR="00000000" w:rsidDel="00000000" w:rsidP="00000000" w:rsidRDefault="00000000" w:rsidRPr="00000000" w14:paraId="00000047">
            <w:pPr>
              <w:ind w:left="720"/>
              <w:rPr>
                <w:sz w:val="22"/>
                <w:szCs w:val="22"/>
              </w:rPr>
            </w:pPr>
            <w:r w:rsidDel="00000000" w:rsidR="00000000" w:rsidRPr="00000000">
              <w:rPr>
                <w:rFonts w:ascii="Arial" w:cs="Arial" w:eastAsia="Arial" w:hAnsi="Arial"/>
                <w:sz w:val="19"/>
                <w:szCs w:val="19"/>
                <w:rtl w:val="0"/>
              </w:rPr>
              <w:t xml:space="preserve"> </w:t>
            </w:r>
            <w:r w:rsidDel="00000000" w:rsidR="00000000" w:rsidRPr="00000000">
              <w:rPr>
                <w:rtl w:val="0"/>
              </w:rPr>
            </w:r>
          </w:p>
        </w:tc>
        <w:tc>
          <w:tcPr>
            <w:shd w:fill="auto" w:val="clear"/>
          </w:tcPr>
          <w:p w:rsidR="00000000" w:rsidDel="00000000" w:rsidP="00000000" w:rsidRDefault="00000000" w:rsidRPr="00000000" w14:paraId="00000048">
            <w:pPr>
              <w:jc w:val="center"/>
              <w:rPr>
                <w:sz w:val="22"/>
                <w:szCs w:val="22"/>
              </w:rPr>
            </w:pPr>
            <w:r w:rsidDel="00000000" w:rsidR="00000000" w:rsidRPr="00000000">
              <w:rPr>
                <w:rtl w:val="0"/>
              </w:rPr>
            </w:r>
          </w:p>
          <w:p w:rsidR="00000000" w:rsidDel="00000000" w:rsidP="00000000" w:rsidRDefault="00000000" w:rsidRPr="00000000" w14:paraId="00000049">
            <w:pPr>
              <w:jc w:val="center"/>
              <w:rPr>
                <w:sz w:val="22"/>
                <w:szCs w:val="22"/>
              </w:rPr>
            </w:pPr>
            <w:r w:rsidDel="00000000" w:rsidR="00000000" w:rsidRPr="00000000">
              <w:rPr>
                <w:sz w:val="22"/>
                <w:szCs w:val="22"/>
                <w:rtl w:val="0"/>
              </w:rPr>
              <w:t xml:space="preserve">Appendix B.19</w:t>
            </w:r>
          </w:p>
          <w:p w:rsidR="00000000" w:rsidDel="00000000" w:rsidP="00000000" w:rsidRDefault="00000000" w:rsidRPr="00000000" w14:paraId="0000004A">
            <w:pPr>
              <w:jc w:val="center"/>
              <w:rPr>
                <w:color w:val="0000ff"/>
                <w:sz w:val="22"/>
                <w:szCs w:val="22"/>
              </w:rPr>
            </w:pPr>
            <w:r w:rsidDel="00000000" w:rsidR="00000000" w:rsidRPr="00000000">
              <w:rPr>
                <w:rtl w:val="0"/>
              </w:rPr>
            </w:r>
          </w:p>
        </w:tc>
        <w:tc>
          <w:tcPr>
            <w:shd w:fill="auto" w:val="clear"/>
          </w:tcPr>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t xml:space="preserve">200.444</w:t>
            </w:r>
          </w:p>
        </w:tc>
      </w:tr>
      <w:tr>
        <w:tc>
          <w:tcPr>
            <w:shd w:fill="auto" w:val="clear"/>
          </w:tcPr>
          <w:p w:rsidR="00000000" w:rsidDel="00000000" w:rsidP="00000000" w:rsidRDefault="00000000" w:rsidRPr="00000000" w14:paraId="0000004D">
            <w:pPr>
              <w:rPr/>
            </w:pPr>
            <w:r w:rsidDel="00000000" w:rsidR="00000000" w:rsidRPr="00000000">
              <w:rPr>
                <w:rtl w:val="0"/>
              </w:rPr>
              <w:t xml:space="preserve">12</w:t>
            </w:r>
          </w:p>
        </w:tc>
        <w:tc>
          <w:tcPr>
            <w:shd w:fill="auto" w:val="clear"/>
          </w:tcPr>
          <w:p w:rsidR="00000000" w:rsidDel="00000000" w:rsidP="00000000" w:rsidRDefault="00000000" w:rsidRPr="00000000" w14:paraId="0000004E">
            <w:pPr>
              <w:rPr>
                <w:sz w:val="22"/>
                <w:szCs w:val="22"/>
              </w:rPr>
            </w:pPr>
            <w:r w:rsidDel="00000000" w:rsidR="00000000" w:rsidRPr="00000000">
              <w:rPr>
                <w:sz w:val="22"/>
                <w:szCs w:val="22"/>
                <w:rtl w:val="0"/>
              </w:rPr>
              <w:t xml:space="preserve">Legal Costs related to the defense and prosecution of criminal and civil proceedings, claims, appeals and patent infringements.</w:t>
            </w:r>
          </w:p>
          <w:p w:rsidR="00000000" w:rsidDel="00000000" w:rsidP="00000000" w:rsidRDefault="00000000" w:rsidRPr="00000000" w14:paraId="0000004F">
            <w:pPr>
              <w:rPr>
                <w:sz w:val="22"/>
                <w:szCs w:val="22"/>
              </w:rPr>
            </w:pPr>
            <w:r w:rsidDel="00000000" w:rsidR="00000000" w:rsidRPr="00000000">
              <w:rPr>
                <w:rtl w:val="0"/>
              </w:rPr>
            </w:r>
          </w:p>
        </w:tc>
        <w:tc>
          <w:tcPr>
            <w:shd w:fill="auto" w:val="clear"/>
          </w:tcPr>
          <w:p w:rsidR="00000000" w:rsidDel="00000000" w:rsidP="00000000" w:rsidRDefault="00000000" w:rsidRPr="00000000" w14:paraId="00000050">
            <w:pPr>
              <w:jc w:val="center"/>
              <w:rPr>
                <w:sz w:val="22"/>
                <w:szCs w:val="22"/>
              </w:rPr>
            </w:pPr>
            <w:r w:rsidDel="00000000" w:rsidR="00000000" w:rsidRPr="00000000">
              <w:rPr>
                <w:rtl w:val="0"/>
              </w:rPr>
            </w:r>
          </w:p>
          <w:p w:rsidR="00000000" w:rsidDel="00000000" w:rsidP="00000000" w:rsidRDefault="00000000" w:rsidRPr="00000000" w14:paraId="00000051">
            <w:pPr>
              <w:jc w:val="center"/>
              <w:rPr>
                <w:sz w:val="22"/>
                <w:szCs w:val="22"/>
              </w:rPr>
            </w:pPr>
            <w:r w:rsidDel="00000000" w:rsidR="00000000" w:rsidRPr="00000000">
              <w:rPr>
                <w:sz w:val="22"/>
                <w:szCs w:val="22"/>
                <w:rtl w:val="0"/>
              </w:rPr>
              <w:t xml:space="preserve">Appendix B.10</w:t>
            </w:r>
          </w:p>
        </w:tc>
        <w:tc>
          <w:tcPr>
            <w:shd w:fill="auto" w:val="clear"/>
          </w:tcPr>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t xml:space="preserve">200.435</w:t>
            </w:r>
          </w:p>
        </w:tc>
      </w:tr>
      <w:tr>
        <w:tc>
          <w:tcPr>
            <w:shd w:fill="auto" w:val="clear"/>
          </w:tcPr>
          <w:p w:rsidR="00000000" w:rsidDel="00000000" w:rsidP="00000000" w:rsidRDefault="00000000" w:rsidRPr="00000000" w14:paraId="00000054">
            <w:pPr>
              <w:rPr/>
            </w:pPr>
            <w:r w:rsidDel="00000000" w:rsidR="00000000" w:rsidRPr="00000000">
              <w:rPr>
                <w:rtl w:val="0"/>
              </w:rPr>
            </w:r>
          </w:p>
        </w:tc>
        <w:tc>
          <w:tcPr>
            <w:shd w:fill="auto" w:val="clear"/>
          </w:tcPr>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Cited Unallowable Costs</w:t>
            </w:r>
            <w:r w:rsidDel="00000000" w:rsidR="00000000" w:rsidRPr="00000000">
              <w:rPr>
                <w:rtl w:val="0"/>
              </w:rPr>
            </w:r>
          </w:p>
        </w:tc>
        <w:tc>
          <w:tcPr>
            <w:shd w:fill="auto" w:val="clear"/>
          </w:tcPr>
          <w:p w:rsidR="00000000" w:rsidDel="00000000" w:rsidP="00000000" w:rsidRDefault="00000000" w:rsidRPr="00000000" w14:paraId="00000057">
            <w:pPr>
              <w:jc w:val="center"/>
              <w:rPr>
                <w:b w:val="1"/>
              </w:rPr>
            </w:pPr>
            <w:r w:rsidDel="00000000" w:rsidR="00000000" w:rsidRPr="00000000">
              <w:rPr>
                <w:rtl w:val="0"/>
              </w:rPr>
            </w:r>
          </w:p>
          <w:p w:rsidR="00000000" w:rsidDel="00000000" w:rsidP="00000000" w:rsidRDefault="00000000" w:rsidRPr="00000000" w14:paraId="00000058">
            <w:pPr>
              <w:jc w:val="center"/>
              <w:rPr>
                <w:b w:val="1"/>
              </w:rPr>
            </w:pPr>
            <w:r w:rsidDel="00000000" w:rsidR="00000000" w:rsidRPr="00000000">
              <w:rPr>
                <w:b w:val="1"/>
                <w:rtl w:val="0"/>
              </w:rPr>
              <w:t xml:space="preserve">2 CFR 225</w:t>
            </w:r>
          </w:p>
          <w:p w:rsidR="00000000" w:rsidDel="00000000" w:rsidP="00000000" w:rsidRDefault="00000000" w:rsidRPr="00000000" w14:paraId="00000059">
            <w:pPr>
              <w:jc w:val="center"/>
              <w:rPr>
                <w:b w:val="1"/>
                <w:sz w:val="16"/>
                <w:szCs w:val="16"/>
              </w:rPr>
            </w:pPr>
            <w:r w:rsidDel="00000000" w:rsidR="00000000" w:rsidRPr="00000000">
              <w:rPr>
                <w:b w:val="1"/>
                <w:rtl w:val="0"/>
              </w:rPr>
              <w:t xml:space="preserve">(</w:t>
            </w:r>
            <w:r w:rsidDel="00000000" w:rsidR="00000000" w:rsidRPr="00000000">
              <w:rPr>
                <w:b w:val="1"/>
                <w:sz w:val="16"/>
                <w:szCs w:val="16"/>
                <w:rtl w:val="0"/>
              </w:rPr>
              <w:t xml:space="preserve">formerly OMB Circular A-87)</w:t>
            </w:r>
          </w:p>
        </w:tc>
        <w:tc>
          <w:tcPr>
            <w:shd w:fill="auto" w:val="clear"/>
          </w:tcPr>
          <w:p w:rsidR="00000000" w:rsidDel="00000000" w:rsidP="00000000" w:rsidRDefault="00000000" w:rsidRPr="00000000" w14:paraId="0000005A">
            <w:pPr>
              <w:jc w:val="center"/>
              <w:rPr>
                <w:b w:val="1"/>
              </w:rPr>
            </w:pPr>
            <w:r w:rsidDel="00000000" w:rsidR="00000000" w:rsidRPr="00000000">
              <w:rPr>
                <w:rtl w:val="0"/>
              </w:rPr>
            </w:r>
          </w:p>
          <w:p w:rsidR="00000000" w:rsidDel="00000000" w:rsidP="00000000" w:rsidRDefault="00000000" w:rsidRPr="00000000" w14:paraId="0000005B">
            <w:pPr>
              <w:jc w:val="center"/>
              <w:rPr>
                <w:b w:val="1"/>
              </w:rPr>
            </w:pPr>
            <w:r w:rsidDel="00000000" w:rsidR="00000000" w:rsidRPr="00000000">
              <w:rPr>
                <w:b w:val="1"/>
                <w:rtl w:val="0"/>
              </w:rPr>
              <w:t xml:space="preserve">2 CFR Part 200</w:t>
            </w:r>
          </w:p>
          <w:p w:rsidR="00000000" w:rsidDel="00000000" w:rsidP="00000000" w:rsidRDefault="00000000" w:rsidRPr="00000000" w14:paraId="0000005C">
            <w:pPr>
              <w:jc w:val="center"/>
              <w:rPr>
                <w:b w:val="1"/>
              </w:rPr>
            </w:pPr>
            <w:r w:rsidDel="00000000" w:rsidR="00000000" w:rsidRPr="00000000">
              <w:rPr>
                <w:rtl w:val="0"/>
              </w:rPr>
            </w:r>
          </w:p>
        </w:tc>
      </w:tr>
      <w:tr>
        <w:tc>
          <w:tcPr>
            <w:shd w:fill="auto" w:val="clear"/>
          </w:tcPr>
          <w:p w:rsidR="00000000" w:rsidDel="00000000" w:rsidP="00000000" w:rsidRDefault="00000000" w:rsidRPr="00000000" w14:paraId="0000005D">
            <w:pPr>
              <w:rPr/>
            </w:pPr>
            <w:r w:rsidDel="00000000" w:rsidR="00000000" w:rsidRPr="00000000">
              <w:rPr>
                <w:rtl w:val="0"/>
              </w:rPr>
              <w:t xml:space="preserve">13</w:t>
            </w:r>
          </w:p>
        </w:tc>
        <w:tc>
          <w:tcPr>
            <w:shd w:fill="auto" w:val="clear"/>
          </w:tcPr>
          <w:p w:rsidR="00000000" w:rsidDel="00000000" w:rsidP="00000000" w:rsidRDefault="00000000" w:rsidRPr="00000000" w14:paraId="0000005E">
            <w:pPr>
              <w:rPr>
                <w:sz w:val="22"/>
                <w:szCs w:val="22"/>
              </w:rPr>
            </w:pPr>
            <w:r w:rsidDel="00000000" w:rsidR="00000000" w:rsidRPr="00000000">
              <w:rPr>
                <w:sz w:val="22"/>
                <w:szCs w:val="22"/>
                <w:rtl w:val="0"/>
              </w:rPr>
              <w:t xml:space="preserve">Lobbying</w:t>
            </w:r>
          </w:p>
          <w:p w:rsidR="00000000" w:rsidDel="00000000" w:rsidP="00000000" w:rsidRDefault="00000000" w:rsidRPr="00000000" w14:paraId="0000005F">
            <w:pPr>
              <w:rPr>
                <w:sz w:val="22"/>
                <w:szCs w:val="22"/>
              </w:rPr>
            </w:pPr>
            <w:r w:rsidDel="00000000" w:rsidR="00000000" w:rsidRPr="00000000">
              <w:rPr>
                <w:rtl w:val="0"/>
              </w:rPr>
            </w:r>
          </w:p>
        </w:tc>
        <w:tc>
          <w:tcPr>
            <w:shd w:fill="auto" w:val="clear"/>
          </w:tcPr>
          <w:p w:rsidR="00000000" w:rsidDel="00000000" w:rsidP="00000000" w:rsidRDefault="00000000" w:rsidRPr="00000000" w14:paraId="00000060">
            <w:pPr>
              <w:jc w:val="center"/>
              <w:rPr>
                <w:sz w:val="22"/>
                <w:szCs w:val="22"/>
              </w:rPr>
            </w:pPr>
            <w:r w:rsidDel="00000000" w:rsidR="00000000" w:rsidRPr="00000000">
              <w:rPr>
                <w:sz w:val="22"/>
                <w:szCs w:val="22"/>
                <w:rtl w:val="0"/>
              </w:rPr>
              <w:t xml:space="preserve">Appendix B.24</w:t>
            </w:r>
          </w:p>
        </w:tc>
        <w:tc>
          <w:tcPr>
            <w:shd w:fill="auto" w:val="clear"/>
          </w:tcPr>
          <w:p w:rsidR="00000000" w:rsidDel="00000000" w:rsidP="00000000" w:rsidRDefault="00000000" w:rsidRPr="00000000" w14:paraId="00000061">
            <w:pPr>
              <w:jc w:val="center"/>
              <w:rPr/>
            </w:pPr>
            <w:r w:rsidDel="00000000" w:rsidR="00000000" w:rsidRPr="00000000">
              <w:rPr>
                <w:rtl w:val="0"/>
              </w:rPr>
              <w:t xml:space="preserve">200.450</w:t>
            </w:r>
          </w:p>
        </w:tc>
      </w:tr>
      <w:tr>
        <w:tc>
          <w:tcPr>
            <w:shd w:fill="auto" w:val="clear"/>
          </w:tcPr>
          <w:p w:rsidR="00000000" w:rsidDel="00000000" w:rsidP="00000000" w:rsidRDefault="00000000" w:rsidRPr="00000000" w14:paraId="00000062">
            <w:pPr>
              <w:rPr>
                <w:sz w:val="22"/>
                <w:szCs w:val="22"/>
              </w:rPr>
            </w:pPr>
            <w:r w:rsidDel="00000000" w:rsidR="00000000" w:rsidRPr="00000000">
              <w:rPr>
                <w:sz w:val="22"/>
                <w:szCs w:val="22"/>
                <w:rtl w:val="0"/>
              </w:rPr>
              <w:t xml:space="preserve">14</w:t>
            </w:r>
          </w:p>
        </w:tc>
        <w:tc>
          <w:tcPr>
            <w:shd w:fill="auto" w:val="clear"/>
          </w:tcPr>
          <w:p w:rsidR="00000000" w:rsidDel="00000000" w:rsidP="00000000" w:rsidRDefault="00000000" w:rsidRPr="00000000" w14:paraId="00000063">
            <w:pPr>
              <w:rPr>
                <w:sz w:val="22"/>
                <w:szCs w:val="22"/>
              </w:rPr>
            </w:pPr>
            <w:r w:rsidDel="00000000" w:rsidR="00000000" w:rsidRPr="00000000">
              <w:rPr>
                <w:sz w:val="22"/>
                <w:szCs w:val="22"/>
                <w:rtl w:val="0"/>
              </w:rPr>
              <w:t xml:space="preserve">News Media (the portion that is required by Federal programs is allowable)</w:t>
            </w:r>
          </w:p>
          <w:p w:rsidR="00000000" w:rsidDel="00000000" w:rsidP="00000000" w:rsidRDefault="00000000" w:rsidRPr="00000000" w14:paraId="00000064">
            <w:pPr>
              <w:rPr>
                <w:sz w:val="22"/>
                <w:szCs w:val="22"/>
              </w:rPr>
            </w:pPr>
            <w:r w:rsidDel="00000000" w:rsidR="00000000" w:rsidRPr="00000000">
              <w:rPr>
                <w:rtl w:val="0"/>
              </w:rPr>
            </w:r>
          </w:p>
        </w:tc>
        <w:tc>
          <w:tcPr>
            <w:shd w:fill="auto" w:val="clear"/>
          </w:tcPr>
          <w:p w:rsidR="00000000" w:rsidDel="00000000" w:rsidP="00000000" w:rsidRDefault="00000000" w:rsidRPr="00000000" w14:paraId="00000065">
            <w:pPr>
              <w:jc w:val="center"/>
              <w:rPr>
                <w:sz w:val="22"/>
                <w:szCs w:val="22"/>
              </w:rPr>
            </w:pPr>
            <w:r w:rsidDel="00000000" w:rsidR="00000000" w:rsidRPr="00000000">
              <w:rPr>
                <w:sz w:val="22"/>
                <w:szCs w:val="22"/>
                <w:rtl w:val="0"/>
              </w:rPr>
              <w:t xml:space="preserve">Appendix B.1</w:t>
            </w:r>
          </w:p>
        </w:tc>
        <w:tc>
          <w:tcPr>
            <w:shd w:fill="auto" w:val="clear"/>
          </w:tcPr>
          <w:p w:rsidR="00000000" w:rsidDel="00000000" w:rsidP="00000000" w:rsidRDefault="00000000" w:rsidRPr="00000000" w14:paraId="00000066">
            <w:pPr>
              <w:jc w:val="center"/>
              <w:rPr/>
            </w:pPr>
            <w:r w:rsidDel="00000000" w:rsidR="00000000" w:rsidRPr="00000000">
              <w:rPr>
                <w:rtl w:val="0"/>
              </w:rPr>
              <w:t xml:space="preserve">200.421</w:t>
            </w:r>
          </w:p>
        </w:tc>
      </w:tr>
      <w:tr>
        <w:tc>
          <w:tcPr>
            <w:shd w:fill="auto" w:val="clear"/>
          </w:tcPr>
          <w:p w:rsidR="00000000" w:rsidDel="00000000" w:rsidP="00000000" w:rsidRDefault="00000000" w:rsidRPr="00000000" w14:paraId="00000067">
            <w:pPr>
              <w:rPr>
                <w:sz w:val="22"/>
                <w:szCs w:val="22"/>
              </w:rPr>
            </w:pPr>
            <w:r w:rsidDel="00000000" w:rsidR="00000000" w:rsidRPr="00000000">
              <w:rPr>
                <w:sz w:val="22"/>
                <w:szCs w:val="22"/>
                <w:rtl w:val="0"/>
              </w:rPr>
              <w:t xml:space="preserve">15</w:t>
            </w:r>
          </w:p>
        </w:tc>
        <w:tc>
          <w:tcPr>
            <w:shd w:fill="auto" w:val="clear"/>
          </w:tcPr>
          <w:p w:rsidR="00000000" w:rsidDel="00000000" w:rsidP="00000000" w:rsidRDefault="00000000" w:rsidRPr="00000000" w14:paraId="00000068">
            <w:pPr>
              <w:rPr>
                <w:sz w:val="22"/>
                <w:szCs w:val="22"/>
              </w:rPr>
            </w:pPr>
            <w:r w:rsidDel="00000000" w:rsidR="00000000" w:rsidRPr="00000000">
              <w:rPr>
                <w:sz w:val="22"/>
                <w:szCs w:val="22"/>
                <w:rtl w:val="0"/>
              </w:rPr>
              <w:t xml:space="preserve">Selling and Marketing</w:t>
            </w:r>
          </w:p>
          <w:p w:rsidR="00000000" w:rsidDel="00000000" w:rsidP="00000000" w:rsidRDefault="00000000" w:rsidRPr="00000000" w14:paraId="00000069">
            <w:pPr>
              <w:rPr>
                <w:sz w:val="22"/>
                <w:szCs w:val="22"/>
              </w:rPr>
            </w:pPr>
            <w:r w:rsidDel="00000000" w:rsidR="00000000" w:rsidRPr="00000000">
              <w:rPr>
                <w:rtl w:val="0"/>
              </w:rPr>
            </w:r>
          </w:p>
        </w:tc>
        <w:tc>
          <w:tcPr>
            <w:shd w:fill="auto" w:val="clear"/>
          </w:tcPr>
          <w:p w:rsidR="00000000" w:rsidDel="00000000" w:rsidP="00000000" w:rsidRDefault="00000000" w:rsidRPr="00000000" w14:paraId="0000006A">
            <w:pPr>
              <w:jc w:val="center"/>
              <w:rPr>
                <w:sz w:val="22"/>
                <w:szCs w:val="22"/>
              </w:rPr>
            </w:pPr>
            <w:r w:rsidDel="00000000" w:rsidR="00000000" w:rsidRPr="00000000">
              <w:rPr>
                <w:sz w:val="22"/>
                <w:szCs w:val="22"/>
                <w:rtl w:val="0"/>
              </w:rPr>
              <w:t xml:space="preserve">Appendix B.39</w:t>
            </w:r>
          </w:p>
        </w:tc>
        <w:tc>
          <w:tcPr>
            <w:shd w:fill="auto" w:val="clear"/>
          </w:tcPr>
          <w:p w:rsidR="00000000" w:rsidDel="00000000" w:rsidP="00000000" w:rsidRDefault="00000000" w:rsidRPr="00000000" w14:paraId="0000006B">
            <w:pPr>
              <w:jc w:val="center"/>
              <w:rPr/>
            </w:pPr>
            <w:r w:rsidDel="00000000" w:rsidR="00000000" w:rsidRPr="00000000">
              <w:rPr>
                <w:rtl w:val="0"/>
              </w:rPr>
              <w:t xml:space="preserve">200.467</w:t>
            </w:r>
          </w:p>
        </w:tc>
      </w:tr>
    </w:tbl>
    <w:p w:rsidR="00000000" w:rsidDel="00000000" w:rsidP="00000000" w:rsidRDefault="00000000" w:rsidRPr="00000000" w14:paraId="0000006C">
      <w:pPr>
        <w:rPr/>
      </w:pPr>
      <w:r w:rsidDel="00000000" w:rsidR="00000000" w:rsidRPr="00000000">
        <w:rPr>
          <w:rtl w:val="0"/>
        </w:rPr>
      </w:r>
    </w:p>
    <w:sectPr>
      <w:headerReference r:id="rId6" w:type="default"/>
      <w:footerReference r:id="rId7" w:type="default"/>
      <w:pgSz w:h="15840" w:w="12240"/>
      <w:pgMar w:bottom="576" w:top="1080" w:left="1080" w:right="1080" w:header="720" w:footer="720"/>
      <w:pgNumType w:start="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0" w:line="240" w:lineRule="auto"/>
      <w:ind w:left="0" w:right="0" w:firstLine="43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1"/>
        <w:i w:val="0"/>
        <w:smallCaps w:val="0"/>
        <w:strike w:val="0"/>
        <w:color w:val="8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color="800000" w:space="1" w:sz="24" w:val="single"/>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8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0000"/>
        <w:sz w:val="32"/>
        <w:szCs w:val="32"/>
        <w:u w:val="none"/>
        <w:shd w:fill="auto" w:val="clear"/>
        <w:vertAlign w:val="baseline"/>
        <w:rtl w:val="0"/>
      </w:rPr>
      <w:t xml:space="preserve">Cited Unallowable Cost Reference Sheet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