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Certificate of Indirect Costs</w:t>
      </w:r>
    </w:p>
    <w:p w:rsidR="00000000" w:rsidDel="00000000" w:rsidP="00000000" w:rsidRDefault="00000000" w:rsidRPr="00000000" w14:paraId="00000002">
      <w:pPr>
        <w:jc w:val="center"/>
        <w:rPr/>
      </w:pPr>
      <w:r w:rsidDel="00000000" w:rsidR="00000000" w:rsidRPr="00000000">
        <w:rPr>
          <w:b w:val="1"/>
          <w:sz w:val="28"/>
          <w:szCs w:val="28"/>
          <w:rtl w:val="0"/>
        </w:rPr>
        <w:t xml:space="preserve">For State &amp; Local Governments and Indian Tribes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to certify that I have reviewed the indirect cost rate proposal submitted herewith and to the best of my knowledge and belief: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costs included in this proposal [identify date] to establish billing or final indirect cost rates for [identify period(s) covered by the rate(s)] are allowable in accordance with the requirements of the Federal award(s) to which they apply and the provisions of 2 CFR Part 200 Subpart E-Cost Principles.  Unallowable costs have been adjusted for in allocating costs as indicated in the indirect cost proposal.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declare that the foregoing is true and correct.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t xml:space="preserve">Governmental Unit:</w:t>
        <w:tab/>
        <w:tab/>
        <w:t xml:space="preserve">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t xml:space="preserve">Signature:</w:t>
        <w:tab/>
        <w:tab/>
        <w:tab/>
        <w:t xml:space="preserve">_______________________________</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t xml:space="preserve">Name of Official (printed):</w:t>
        <w:tab/>
        <w:t xml:space="preserve">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Title:</w:t>
        <w:tab/>
        <w:tab/>
        <w:tab/>
        <w:tab/>
        <w:t xml:space="preserve">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of Execution:</w:t>
        <w:tab/>
        <w:tab/>
        <w:t xml:space="preserve">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certification: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requirement per 2 CFR Part 200 Subpart E Subsection 200.415 and Appendix VII Section D.3.;</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submitted as part of the annual indirect cost rate proposal; and</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signed on behalf of the non-Federal entity by an individual at a level no lower than vice president or chief financial officer of the organization.  </w:t>
      </w:r>
    </w:p>
    <w:sectPr>
      <w:footerReference r:id="rId6" w:type="default"/>
      <w:pgSz w:h="15840" w:w="12240"/>
      <w:pgMar w:bottom="720" w:top="1440" w:left="1080" w:right="1267"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8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IBC Certificate of Indirect Costs for State &amp; Local Governments and Indian Tribes</w:t>
      <w:tab/>
      <w:t xml:space="preserve">Rev. 10/12/18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