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B07B" w14:textId="4EC1AE03" w:rsidR="00256A84" w:rsidRDefault="00256A84" w:rsidP="00151EB8">
      <w:pPr>
        <w:tabs>
          <w:tab w:val="right" w:leader="dot" w:pos="9360"/>
        </w:tabs>
        <w:ind w:left="714" w:right="714" w:firstLine="6"/>
        <w:jc w:val="center"/>
        <w:rPr>
          <w:b/>
          <w:sz w:val="28"/>
          <w:szCs w:val="28"/>
          <w:u w:val="single"/>
        </w:rPr>
      </w:pPr>
      <w:r w:rsidRPr="00A1594E">
        <w:rPr>
          <w:b/>
          <w:sz w:val="28"/>
          <w:szCs w:val="28"/>
          <w:u w:val="single"/>
        </w:rPr>
        <w:t xml:space="preserve">Cost </w:t>
      </w:r>
      <w:r w:rsidR="0076631F">
        <w:rPr>
          <w:b/>
          <w:sz w:val="28"/>
          <w:szCs w:val="28"/>
          <w:u w:val="single"/>
        </w:rPr>
        <w:t xml:space="preserve">Allocation Plan </w:t>
      </w:r>
      <w:r w:rsidRPr="00A1594E">
        <w:rPr>
          <w:b/>
          <w:sz w:val="28"/>
          <w:szCs w:val="28"/>
          <w:u w:val="single"/>
        </w:rPr>
        <w:t>(C</w:t>
      </w:r>
      <w:r w:rsidR="0076631F">
        <w:rPr>
          <w:b/>
          <w:sz w:val="28"/>
          <w:szCs w:val="28"/>
          <w:u w:val="single"/>
        </w:rPr>
        <w:t>A</w:t>
      </w:r>
      <w:r w:rsidRPr="00A1594E">
        <w:rPr>
          <w:b/>
          <w:sz w:val="28"/>
          <w:szCs w:val="28"/>
          <w:u w:val="single"/>
        </w:rPr>
        <w:t>P) Checklist (</w:t>
      </w:r>
      <w:r w:rsidR="0076631F">
        <w:rPr>
          <w:b/>
          <w:sz w:val="28"/>
          <w:szCs w:val="28"/>
          <w:u w:val="single"/>
        </w:rPr>
        <w:t>State/Local</w:t>
      </w:r>
      <w:r w:rsidRPr="00A1594E">
        <w:rPr>
          <w:b/>
          <w:sz w:val="28"/>
          <w:szCs w:val="28"/>
          <w:u w:val="single"/>
        </w:rPr>
        <w:t>)</w:t>
      </w:r>
    </w:p>
    <w:p w14:paraId="361F2D0F" w14:textId="77777777" w:rsidR="00F546DE" w:rsidRDefault="00151EB8" w:rsidP="00151EB8">
      <w:pPr>
        <w:tabs>
          <w:tab w:val="right" w:leader="dot" w:pos="9360"/>
        </w:tabs>
        <w:ind w:left="714" w:right="714" w:firstLine="6"/>
        <w:jc w:val="center"/>
        <w:rPr>
          <w:rStyle w:val="PageNumber"/>
          <w:b/>
          <w:color w:val="FF0000"/>
          <w:sz w:val="22"/>
          <w:szCs w:val="22"/>
        </w:rPr>
      </w:pPr>
      <w:r w:rsidRPr="00151EB8">
        <w:rPr>
          <w:rStyle w:val="PageNumber"/>
          <w:b/>
          <w:color w:val="FF0000"/>
          <w:sz w:val="22"/>
          <w:szCs w:val="22"/>
        </w:rPr>
        <w:t>Please explain any box not checked on a separate page</w:t>
      </w:r>
    </w:p>
    <w:p w14:paraId="65107223" w14:textId="77777777" w:rsidR="008A5F11" w:rsidRDefault="008A5F11" w:rsidP="00151EB8">
      <w:pPr>
        <w:tabs>
          <w:tab w:val="right" w:leader="dot" w:pos="9360"/>
        </w:tabs>
        <w:ind w:left="714" w:right="714" w:firstLine="6"/>
        <w:jc w:val="center"/>
        <w:rPr>
          <w:rStyle w:val="PageNumber"/>
          <w:b/>
          <w:color w:val="FF0000"/>
          <w:sz w:val="22"/>
          <w:szCs w:val="22"/>
        </w:rPr>
      </w:pPr>
    </w:p>
    <w:tbl>
      <w:tblPr>
        <w:tblW w:w="10095" w:type="dxa"/>
        <w:tblInd w:w="78" w:type="dxa"/>
        <w:tblLook w:val="04A0" w:firstRow="1" w:lastRow="0" w:firstColumn="1" w:lastColumn="0" w:noHBand="0" w:noVBand="1"/>
      </w:tblPr>
      <w:tblGrid>
        <w:gridCol w:w="15"/>
        <w:gridCol w:w="385"/>
        <w:gridCol w:w="15"/>
        <w:gridCol w:w="7998"/>
        <w:gridCol w:w="1682"/>
      </w:tblGrid>
      <w:tr w:rsidR="00340BDD" w:rsidRPr="00340BDD" w14:paraId="4992D12A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6A4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461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 xml:space="preserve">1. </w:t>
            </w:r>
            <w:r w:rsidRPr="00340BDD">
              <w:rPr>
                <w:rFonts w:ascii="Calibri" w:hAnsi="Calibri"/>
                <w:b/>
                <w:bCs/>
                <w:color w:val="000000"/>
                <w:szCs w:val="20"/>
              </w:rPr>
              <w:t>Contact person information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 (preferably the person who prepared the proposal):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5B3" w14:textId="77777777" w:rsidR="00340BDD" w:rsidRPr="00340BDD" w:rsidRDefault="00340BDD" w:rsidP="00340BD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340BDD" w:rsidRPr="00340BDD" w14:paraId="6067B72D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09A2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95E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color w:val="000000"/>
                <w:szCs w:val="20"/>
              </w:rPr>
              <w:t>Entity Name and mailing address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9DC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40BDD" w:rsidRPr="00340BDD" w14:paraId="35370C26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36A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9B9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color w:val="000000"/>
                <w:szCs w:val="20"/>
              </w:rPr>
              <w:t>Employer Identification Number (EIN)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4B3C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40BDD" w:rsidRPr="00340BDD" w14:paraId="0A53971E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EFF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12A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color w:val="000000"/>
                <w:szCs w:val="20"/>
              </w:rPr>
              <w:t>Point-of-Contact Name and position title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2865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40BDD" w:rsidRPr="00340BDD" w14:paraId="29A6DD3E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0701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9889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color w:val="000000"/>
                <w:szCs w:val="20"/>
              </w:rPr>
              <w:t>Email address (very important)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C48C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40BDD" w:rsidRPr="00340BDD" w14:paraId="09AA8752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7B6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9F51" w14:textId="77777777" w:rsidR="00340BDD" w:rsidRPr="0076631F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color w:val="000000"/>
                <w:szCs w:val="20"/>
              </w:rPr>
              <w:t>Phone &amp; fax numbers</w:t>
            </w:r>
          </w:p>
          <w:p w14:paraId="006B9FD6" w14:textId="2C9729D5" w:rsidR="0076631F" w:rsidRPr="0076631F" w:rsidRDefault="0076631F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color w:val="000000"/>
                <w:szCs w:val="20"/>
              </w:rPr>
              <w:t>Entity’s Internet website address, if any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897E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40BDD" w:rsidRPr="00340BDD" w14:paraId="56C97EFE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062A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DFF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979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5120248C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D3D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9E55" w14:textId="416F93D8" w:rsidR="006E52D1" w:rsidRPr="0076631F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2. </w:t>
            </w:r>
            <w:r w:rsidR="006E52D1">
              <w:rPr>
                <w:rFonts w:ascii="Calibri" w:hAnsi="Calibri"/>
                <w:b/>
                <w:bCs/>
                <w:color w:val="000000"/>
                <w:szCs w:val="20"/>
              </w:rPr>
              <w:t>Type of CAP</w:t>
            </w:r>
            <w:r w:rsidR="006E52D1">
              <w:rPr>
                <w:rFonts w:ascii="Calibri" w:hAnsi="Calibri"/>
                <w:color w:val="000000"/>
                <w:szCs w:val="20"/>
              </w:rPr>
              <w:t xml:space="preserve"> requested: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28C7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6E52D1" w:rsidRPr="00340BDD" w14:paraId="33298FB5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8EC" w14:textId="77777777" w:rsidR="006E52D1" w:rsidRPr="0076631F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C50" w14:textId="77777777" w:rsidR="006E52D1" w:rsidRPr="0076631F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b/>
                <w:bCs/>
                <w:color w:val="000000"/>
                <w:szCs w:val="20"/>
              </w:rPr>
              <w:t>Direct Charge</w:t>
            </w:r>
            <w:r>
              <w:rPr>
                <w:rFonts w:ascii="Calibri" w:hAnsi="Calibri"/>
                <w:color w:val="000000"/>
                <w:szCs w:val="20"/>
              </w:rPr>
              <w:t xml:space="preserve"> – Entity direct charges all costs, and there are NO indirect costs to be allocated.  Annual filing is not required, only DOI approval letter on file is required.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A616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14EBD824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404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F4F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-OR-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DC14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5D93C677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DA2" w14:textId="77777777" w:rsidR="006E52D1" w:rsidRPr="0076631F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E4D" w14:textId="77777777" w:rsidR="006E52D1" w:rsidRPr="0076631F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76631F">
              <w:rPr>
                <w:rFonts w:ascii="Calibri" w:hAnsi="Calibri"/>
                <w:b/>
                <w:bCs/>
                <w:color w:val="000000"/>
                <w:szCs w:val="20"/>
              </w:rPr>
              <w:t>Indirect Cost Allocation</w:t>
            </w:r>
            <w:r>
              <w:rPr>
                <w:rFonts w:ascii="Calibri" w:hAnsi="Calibri"/>
                <w:color w:val="000000"/>
                <w:szCs w:val="20"/>
              </w:rPr>
              <w:t xml:space="preserve"> – Entity pools the overhead (i.e., indirect) costs, and allocates these costs to the programs.  Reapply annually for provisional/final CAP approval.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0A1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7F7BD341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A551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EFC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9FB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5889CC3D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B10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64177" w14:textId="1E08AA99" w:rsidR="006E52D1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. Entity’s </w:t>
            </w:r>
            <w:r w:rsidR="006E52D1">
              <w:rPr>
                <w:rFonts w:ascii="Calibri" w:hAnsi="Calibri"/>
                <w:color w:val="000000"/>
                <w:szCs w:val="20"/>
              </w:rPr>
              <w:t>general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 policy for allocating and identifying direct and indirect costs,</w:t>
            </w:r>
            <w:r w:rsidR="006E52D1" w:rsidRPr="00340BDD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51A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6E52D1" w:rsidRPr="00340BDD" w14:paraId="7B574B5E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92D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BA519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 xml:space="preserve">i.e., </w:t>
            </w:r>
            <w:r w:rsidRPr="0076631F">
              <w:rPr>
                <w:rFonts w:ascii="Calibri" w:hAnsi="Calibri"/>
                <w:b/>
                <w:bCs/>
                <w:color w:val="000000"/>
                <w:szCs w:val="20"/>
              </w:rPr>
              <w:t>cost allocation methodology</w:t>
            </w:r>
            <w:r w:rsidRPr="00340BDD">
              <w:rPr>
                <w:rFonts w:ascii="Calibri" w:hAnsi="Calibri"/>
                <w:color w:val="000000"/>
                <w:szCs w:val="20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A14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013CE141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7A3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2709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08C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73DEFA61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190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66E" w14:textId="132FF15D" w:rsidR="006E52D1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4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. </w:t>
            </w:r>
            <w:r w:rsidR="006E52D1" w:rsidRPr="00340BDD">
              <w:rPr>
                <w:rFonts w:ascii="Calibri" w:hAnsi="Calibri"/>
                <w:b/>
                <w:bCs/>
                <w:color w:val="000000"/>
                <w:szCs w:val="20"/>
              </w:rPr>
              <w:t>Fiscal Period(s)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 covered by the </w:t>
            </w:r>
            <w:r w:rsidR="006E52D1">
              <w:rPr>
                <w:rFonts w:ascii="Calibri" w:hAnsi="Calibri"/>
                <w:color w:val="000000"/>
                <w:szCs w:val="20"/>
              </w:rPr>
              <w:t>cost allocation plan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40FD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6E52D1" w:rsidRPr="00340BDD" w14:paraId="7DA5DF36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5E96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8A5E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4E0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1A9D022B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B18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E723B" w14:textId="2D000695" w:rsidR="006E52D1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. </w:t>
            </w:r>
            <w:r w:rsidR="006E52D1" w:rsidRPr="00340BDD">
              <w:rPr>
                <w:rFonts w:ascii="Calibri" w:hAnsi="Calibri"/>
                <w:b/>
                <w:bCs/>
                <w:color w:val="000000"/>
                <w:szCs w:val="20"/>
              </w:rPr>
              <w:t>D</w:t>
            </w:r>
            <w:r w:rsidR="006E52D1">
              <w:rPr>
                <w:rFonts w:ascii="Calibri" w:hAnsi="Calibri"/>
                <w:b/>
                <w:bCs/>
                <w:color w:val="000000"/>
                <w:szCs w:val="20"/>
              </w:rPr>
              <w:t>irect Costs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6E52D1">
              <w:rPr>
                <w:rFonts w:ascii="Calibri" w:hAnsi="Calibri"/>
                <w:color w:val="000000"/>
                <w:szCs w:val="20"/>
              </w:rPr>
              <w:t xml:space="preserve">described and 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detailed to include all activities that benefit from the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B76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6E52D1" w:rsidRPr="00340BDD" w14:paraId="65F61099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D39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1FC4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indirect cost pool.  Must include the following: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748C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4F80BC9E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B372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BEB89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 xml:space="preserve">a. Total expenditures </w:t>
            </w:r>
            <w:r>
              <w:rPr>
                <w:rFonts w:ascii="Calibri" w:hAnsi="Calibri"/>
                <w:color w:val="000000"/>
                <w:szCs w:val="20"/>
              </w:rPr>
              <w:t xml:space="preserve">(Schedule B) </w:t>
            </w:r>
            <w:r w:rsidRPr="00340BDD">
              <w:rPr>
                <w:rFonts w:ascii="Calibri" w:hAnsi="Calibri"/>
                <w:color w:val="000000"/>
                <w:szCs w:val="20"/>
              </w:rPr>
              <w:t>reconcilable to the audit if using actual numbers;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FC7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207DB614" w14:textId="77777777" w:rsidTr="00DC65A6">
        <w:trPr>
          <w:trHeight w:val="51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5D3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7CC3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b. Support for total Salaries and Wages (SW) if base is SW, or Salaries, Wages and Fringe Benefits (SWF);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5A8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6EF0D956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203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2146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c. All exclusions</w:t>
            </w:r>
            <w:r>
              <w:rPr>
                <w:rFonts w:ascii="Calibri" w:hAnsi="Calibri"/>
                <w:color w:val="000000"/>
                <w:szCs w:val="20"/>
              </w:rPr>
              <w:t xml:space="preserve"> with footnote explanation</w:t>
            </w:r>
            <w:r w:rsidRPr="00340BDD">
              <w:rPr>
                <w:rFonts w:ascii="Calibri" w:hAnsi="Calibri"/>
                <w:color w:val="000000"/>
                <w:szCs w:val="20"/>
              </w:rPr>
              <w:t>;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F82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1B7842BE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3A7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771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EF40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2FFCE1B5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A5A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C8BE7" w14:textId="182496B2" w:rsidR="006E52D1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6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. </w:t>
            </w:r>
            <w:r w:rsidR="006E52D1">
              <w:rPr>
                <w:rFonts w:ascii="Calibri" w:hAnsi="Calibri"/>
                <w:b/>
                <w:bCs/>
                <w:color w:val="000000"/>
                <w:szCs w:val="20"/>
              </w:rPr>
              <w:t>Indirect Costs</w:t>
            </w:r>
            <w:r w:rsidR="006E52D1" w:rsidRPr="00340BDD">
              <w:rPr>
                <w:rFonts w:ascii="Calibri" w:hAnsi="Calibri"/>
                <w:color w:val="000000"/>
                <w:szCs w:val="20"/>
              </w:rPr>
              <w:t xml:space="preserve"> detailed to include a</w:t>
            </w:r>
            <w:r w:rsidR="006E52D1">
              <w:rPr>
                <w:rFonts w:ascii="Calibri" w:hAnsi="Calibri"/>
                <w:color w:val="000000"/>
                <w:szCs w:val="20"/>
              </w:rPr>
              <w:t xml:space="preserve"> breakdown of (1) indirect salaries by position title,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E479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6E52D1" w:rsidRPr="00340BDD" w14:paraId="34FE1970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7E0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E2BEB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amount, and indirect percentage</w:t>
            </w:r>
            <w:r>
              <w:rPr>
                <w:rFonts w:ascii="Calibri" w:hAnsi="Calibri"/>
                <w:color w:val="000000"/>
                <w:szCs w:val="20"/>
              </w:rPr>
              <w:t xml:space="preserve">; (2) fringe benefits associated with indirect salaries; </w:t>
            </w:r>
            <w:r w:rsidRPr="00340BDD">
              <w:rPr>
                <w:rFonts w:ascii="Calibri" w:hAnsi="Calibri"/>
                <w:color w:val="000000"/>
                <w:szCs w:val="20"/>
              </w:rPr>
              <w:t>and (</w:t>
            </w:r>
            <w:r>
              <w:rPr>
                <w:rFonts w:ascii="Calibri" w:hAnsi="Calibri"/>
                <w:color w:val="000000"/>
                <w:szCs w:val="20"/>
              </w:rPr>
              <w:t>3</w:t>
            </w:r>
            <w:r w:rsidRPr="00340BDD">
              <w:rPr>
                <w:rFonts w:ascii="Calibri" w:hAnsi="Calibri"/>
                <w:color w:val="000000"/>
                <w:szCs w:val="20"/>
              </w:rPr>
              <w:t>) all other indirect costs by line item. If actual indirect costs cannot be traced to the financial statements, the entity must provide one of the following to support these numbers:  (1) a copy of the audited general ledger showing the grand total for the indirect cost pool or (2) a letter from the CPA who performed the audit.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B0C" w14:textId="77777777" w:rsidR="006E52D1" w:rsidRPr="00340BDD" w:rsidRDefault="006E52D1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1C041D68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B82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815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Note:  Not applicable when using the Direct Charge methodology.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DC2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6E52D1" w:rsidRPr="00340BDD" w14:paraId="629DE3A5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10E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1B8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E72" w14:textId="77777777" w:rsidR="006E52D1" w:rsidRPr="00340BDD" w:rsidRDefault="006E52D1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DC65A6" w:rsidRPr="00340BDD" w14:paraId="25BC8053" w14:textId="77777777" w:rsidTr="00DC65A6">
        <w:trPr>
          <w:gridBefore w:val="1"/>
          <w:wBefore w:w="15" w:type="dxa"/>
          <w:trHeight w:val="31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E8F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06188" w14:textId="5FBAC413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7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. Applicable </w:t>
            </w:r>
            <w:r w:rsidRPr="00340BDD">
              <w:rPr>
                <w:rFonts w:ascii="Calibri" w:hAnsi="Calibri"/>
                <w:b/>
                <w:bCs/>
                <w:color w:val="000000"/>
                <w:szCs w:val="20"/>
              </w:rPr>
              <w:t>audited financial statements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 that meet the requirements of the Single Audit Act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625F" w14:textId="77777777" w:rsidR="00DC65A6" w:rsidRPr="00340BDD" w:rsidRDefault="00DC65A6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DC65A6" w:rsidRPr="00340BDD" w14:paraId="69D93AB9" w14:textId="77777777" w:rsidTr="00DC65A6">
        <w:trPr>
          <w:gridBefore w:val="1"/>
          <w:wBefore w:w="15" w:type="dxa"/>
          <w:trHeight w:val="57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144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4519F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color w:val="000000"/>
                <w:szCs w:val="20"/>
              </w:rPr>
            </w:pPr>
            <w:r w:rsidRPr="00340BDD">
              <w:rPr>
                <w:color w:val="000000"/>
                <w:szCs w:val="20"/>
              </w:rPr>
              <w:t>of 1984, Public Law 98-502, as amended.  If Entity is under the A-133 threshold ($750,000) and does not have an audit, then a copy of the Profit and Loss Statement or general ledger is required.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B62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DC65A6" w:rsidRPr="00340BDD" w14:paraId="19D10FFD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92B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7EB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F48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DC65A6" w:rsidRPr="00340BDD" w14:paraId="3A6AE4A9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0D3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5C8A" w14:textId="4ABFA59E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8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. </w:t>
            </w:r>
            <w:r w:rsidRPr="00340BDD">
              <w:rPr>
                <w:rFonts w:ascii="Calibri" w:hAnsi="Calibri"/>
                <w:b/>
                <w:bCs/>
                <w:color w:val="000000"/>
                <w:szCs w:val="20"/>
              </w:rPr>
              <w:t xml:space="preserve">Reconciliation of Total Expenditures per Audited Financial Statements </w:t>
            </w:r>
            <w:r>
              <w:rPr>
                <w:rFonts w:ascii="Calibri" w:hAnsi="Calibri"/>
                <w:b/>
                <w:bCs/>
                <w:color w:val="000000"/>
                <w:szCs w:val="20"/>
              </w:rPr>
              <w:t>to Cost Allocation</w:t>
            </w:r>
            <w:r w:rsidRPr="00340BDD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BAF" w14:textId="77777777" w:rsidR="00DC65A6" w:rsidRPr="00340BDD" w:rsidRDefault="00DC65A6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DC65A6" w:rsidRPr="00340BDD" w14:paraId="0BC90A4F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A4D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FCD3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536605">
              <w:rPr>
                <w:rFonts w:ascii="Calibri" w:hAnsi="Calibri"/>
                <w:b/>
                <w:bCs/>
                <w:color w:val="000000"/>
                <w:szCs w:val="20"/>
              </w:rPr>
              <w:t>Plan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 when audited costs are used.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DC0" w14:textId="77777777" w:rsidR="00DC65A6" w:rsidRPr="00340BDD" w:rsidRDefault="00DC65A6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DC65A6" w:rsidRPr="00340BDD" w14:paraId="4555D73A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068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91A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23B0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DC65A6" w:rsidRPr="00340BDD" w14:paraId="4856EFF2" w14:textId="77777777" w:rsidTr="005F080C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2B07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5FC" w14:textId="3B622688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9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Cs w:val="20"/>
              </w:rPr>
              <w:t>Description of accounting system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D13E" w14:textId="77777777" w:rsidR="00DC65A6" w:rsidRPr="00340BDD" w:rsidRDefault="00DC65A6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DC65A6" w:rsidRPr="00340BDD" w14:paraId="3D4EB00D" w14:textId="77777777" w:rsidTr="005F080C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E823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CA9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FFC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DC65A6" w:rsidRPr="00340BDD" w14:paraId="2C75ADE7" w14:textId="77777777" w:rsidTr="005F080C">
        <w:trPr>
          <w:gridBefore w:val="1"/>
          <w:wBefore w:w="15" w:type="dxa"/>
          <w:trHeight w:val="31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0710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CEC4C" w14:textId="517670AF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1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. </w:t>
            </w:r>
            <w:r w:rsidRPr="00DC65A6">
              <w:rPr>
                <w:rFonts w:ascii="Calibri" w:hAnsi="Calibri"/>
                <w:b/>
                <w:bCs/>
                <w:color w:val="000000"/>
                <w:szCs w:val="20"/>
              </w:rPr>
              <w:t>Schedule of Financial Assistance</w:t>
            </w:r>
            <w:r>
              <w:rPr>
                <w:rFonts w:ascii="Calibri" w:hAnsi="Calibri"/>
                <w:color w:val="000000"/>
                <w:szCs w:val="20"/>
              </w:rPr>
              <w:t xml:space="preserve"> (e.g., Schedule of Expenditures of Federal Awards).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045" w14:textId="77777777" w:rsidR="00DC65A6" w:rsidRPr="00340BDD" w:rsidRDefault="00DC65A6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DC65A6" w:rsidRPr="00340BDD" w14:paraId="165B2850" w14:textId="77777777" w:rsidTr="005F080C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540E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E75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262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DC65A6" w:rsidRPr="00340BDD" w14:paraId="13426633" w14:textId="77777777" w:rsidTr="005F080C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5F5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7F4" w14:textId="3AA5ACCB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11</w:t>
            </w:r>
            <w:r w:rsidRPr="00340BDD">
              <w:rPr>
                <w:rFonts w:ascii="Calibri" w:hAnsi="Calibri"/>
                <w:color w:val="000000"/>
                <w:szCs w:val="20"/>
              </w:rPr>
              <w:t xml:space="preserve">. </w:t>
            </w:r>
            <w:r w:rsidRPr="00340BDD">
              <w:rPr>
                <w:rFonts w:ascii="Calibri" w:hAnsi="Calibri"/>
                <w:b/>
                <w:bCs/>
                <w:color w:val="000000"/>
                <w:szCs w:val="20"/>
              </w:rPr>
              <w:t xml:space="preserve">Organization Chart.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537" w14:textId="77777777" w:rsidR="00DC65A6" w:rsidRPr="00340BDD" w:rsidRDefault="00DC65A6" w:rsidP="005F080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  <w:tr w:rsidR="00DC65A6" w:rsidRPr="00340BDD" w14:paraId="5D00ADF8" w14:textId="77777777" w:rsidTr="005F080C">
        <w:trPr>
          <w:trHeight w:val="25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67C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996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0C1" w14:textId="77777777" w:rsidR="00DC65A6" w:rsidRPr="00340BDD" w:rsidRDefault="00DC65A6" w:rsidP="005F080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340BDD" w:rsidRPr="00340BDD" w14:paraId="15FA136F" w14:textId="77777777" w:rsidTr="00DC65A6">
        <w:trPr>
          <w:trHeight w:val="255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FD1" w14:textId="77777777" w:rsidR="00340BDD" w:rsidRPr="00340BDD" w:rsidRDefault="00340BDD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8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9AB9" w14:textId="00E2AC16" w:rsidR="00340BDD" w:rsidRPr="00340BDD" w:rsidRDefault="00DC65A6" w:rsidP="00340BD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</w:t>
            </w:r>
            <w:r w:rsidR="00340BDD" w:rsidRPr="00340BDD">
              <w:rPr>
                <w:rFonts w:ascii="Calibri" w:hAnsi="Calibri"/>
                <w:color w:val="000000"/>
                <w:szCs w:val="20"/>
              </w:rPr>
              <w:t xml:space="preserve">2. Signed </w:t>
            </w:r>
            <w:r w:rsidR="00340BDD" w:rsidRPr="00340BDD">
              <w:rPr>
                <w:rFonts w:ascii="Calibri" w:hAnsi="Calibri"/>
                <w:b/>
                <w:bCs/>
                <w:color w:val="000000"/>
                <w:szCs w:val="20"/>
              </w:rPr>
              <w:t>C</w:t>
            </w:r>
            <w:r w:rsidR="0076631F">
              <w:rPr>
                <w:rFonts w:ascii="Calibri" w:hAnsi="Calibri"/>
                <w:b/>
                <w:bCs/>
                <w:color w:val="000000"/>
                <w:szCs w:val="20"/>
              </w:rPr>
              <w:t>ost Allocation Plan C</w:t>
            </w:r>
            <w:r w:rsidR="00340BDD" w:rsidRPr="00340BDD">
              <w:rPr>
                <w:rFonts w:ascii="Calibri" w:hAnsi="Calibri"/>
                <w:b/>
                <w:bCs/>
                <w:color w:val="000000"/>
                <w:szCs w:val="20"/>
              </w:rPr>
              <w:t>ertificat</w:t>
            </w:r>
            <w:r w:rsidR="0076631F">
              <w:rPr>
                <w:rFonts w:ascii="Calibri" w:hAnsi="Calibri"/>
                <w:b/>
                <w:bCs/>
                <w:color w:val="000000"/>
                <w:szCs w:val="20"/>
              </w:rPr>
              <w:t>ion</w:t>
            </w:r>
            <w:r w:rsidR="00340BDD" w:rsidRPr="00340BDD">
              <w:rPr>
                <w:rFonts w:ascii="Calibri" w:hAnsi="Calibri"/>
                <w:color w:val="00000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515" w14:textId="77777777" w:rsidR="00340BDD" w:rsidRPr="00340BDD" w:rsidRDefault="00340BDD" w:rsidP="00340BD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Cs w:val="20"/>
              </w:rPr>
            </w:pPr>
            <w:r w:rsidRPr="00340BDD">
              <w:rPr>
                <w:rFonts w:ascii="Calibri" w:hAnsi="Calibri"/>
                <w:color w:val="000000"/>
                <w:szCs w:val="20"/>
              </w:rPr>
              <w:t>Page #_____</w:t>
            </w:r>
          </w:p>
        </w:tc>
      </w:tr>
    </w:tbl>
    <w:p w14:paraId="3667DF4C" w14:textId="77777777" w:rsidR="00DC65A6" w:rsidRPr="00E9230C" w:rsidRDefault="00DC65A6" w:rsidP="00DC65A6">
      <w:pPr>
        <w:widowControl/>
        <w:autoSpaceDE/>
        <w:autoSpaceDN/>
        <w:adjustRightInd/>
        <w:rPr>
          <w:sz w:val="28"/>
          <w:szCs w:val="28"/>
          <w:u w:val="single"/>
        </w:rPr>
      </w:pPr>
    </w:p>
    <w:sectPr w:rsidR="00DC65A6" w:rsidRPr="00E9230C" w:rsidSect="008A5F11">
      <w:footerReference w:type="default" r:id="rId7"/>
      <w:pgSz w:w="12240" w:h="15840" w:code="1"/>
      <w:pgMar w:top="864" w:right="1037" w:bottom="864" w:left="749" w:header="576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883D" w14:textId="77777777" w:rsidR="006732E5" w:rsidRDefault="006732E5">
      <w:r>
        <w:separator/>
      </w:r>
    </w:p>
  </w:endnote>
  <w:endnote w:type="continuationSeparator" w:id="0">
    <w:p w14:paraId="55BF8DC4" w14:textId="77777777" w:rsidR="006732E5" w:rsidRDefault="006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4B5E" w14:textId="09C80CF8" w:rsidR="008A5F11" w:rsidRDefault="008A5F11" w:rsidP="00DC65A6">
    <w:pPr>
      <w:tabs>
        <w:tab w:val="center" w:pos="4320"/>
        <w:tab w:val="left" w:pos="9090"/>
      </w:tabs>
      <w:spacing w:after="120"/>
    </w:pPr>
    <w:r>
      <w:rPr>
        <w:b/>
        <w:szCs w:val="20"/>
      </w:rPr>
      <w:t>C</w:t>
    </w:r>
    <w:r w:rsidR="009A3A0B">
      <w:rPr>
        <w:b/>
        <w:szCs w:val="20"/>
      </w:rPr>
      <w:t>A</w:t>
    </w:r>
    <w:r>
      <w:rPr>
        <w:b/>
        <w:szCs w:val="20"/>
      </w:rPr>
      <w:t>P Checklist (</w:t>
    </w:r>
    <w:r w:rsidR="009A3A0B">
      <w:rPr>
        <w:b/>
        <w:szCs w:val="20"/>
      </w:rPr>
      <w:t xml:space="preserve">State/Local </w:t>
    </w:r>
    <w:r>
      <w:rPr>
        <w:b/>
        <w:szCs w:val="20"/>
      </w:rPr>
      <w:t>Governments</w:t>
    </w:r>
    <w:r w:rsidRPr="008A5F11">
      <w:rPr>
        <w:b/>
        <w:szCs w:val="20"/>
      </w:rPr>
      <w:t>)</w:t>
    </w:r>
    <w:r w:rsidR="00DC65A6">
      <w:rPr>
        <w:b/>
        <w:szCs w:val="20"/>
      </w:rPr>
      <w:tab/>
    </w:r>
    <w:r w:rsidR="00DC65A6">
      <w:rPr>
        <w:b/>
        <w:szCs w:val="20"/>
      </w:rPr>
      <w:tab/>
    </w:r>
    <w:r w:rsidRPr="008A5F11">
      <w:rPr>
        <w:b/>
        <w:szCs w:val="20"/>
      </w:rPr>
      <w:t xml:space="preserve">Rev. </w:t>
    </w:r>
    <w:r w:rsidR="009A3A0B">
      <w:rPr>
        <w:b/>
        <w:szCs w:val="20"/>
      </w:rPr>
      <w:t>10</w:t>
    </w:r>
    <w:r w:rsidRPr="008A5F11">
      <w:rPr>
        <w:b/>
        <w:szCs w:val="20"/>
      </w:rPr>
      <w:t>/</w:t>
    </w:r>
    <w:r w:rsidR="009A3A0B">
      <w:rPr>
        <w:b/>
        <w:szCs w:val="20"/>
      </w:rPr>
      <w:t>27</w:t>
    </w:r>
    <w:r w:rsidRPr="008A5F11">
      <w:rPr>
        <w:b/>
        <w:szCs w:val="20"/>
      </w:rPr>
      <w:t>/</w:t>
    </w:r>
    <w:r w:rsidR="009A3A0B">
      <w:rPr>
        <w:b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3A87" w14:textId="77777777" w:rsidR="006732E5" w:rsidRDefault="006732E5">
      <w:r>
        <w:separator/>
      </w:r>
    </w:p>
  </w:footnote>
  <w:footnote w:type="continuationSeparator" w:id="0">
    <w:p w14:paraId="2EC0F634" w14:textId="77777777" w:rsidR="006732E5" w:rsidRDefault="0067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4566A"/>
    <w:multiLevelType w:val="hybridMultilevel"/>
    <w:tmpl w:val="E2546460"/>
    <w:lvl w:ilvl="0" w:tplc="5A94717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b/>
        <w:i/>
        <w:color w:val="auto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84"/>
    <w:rsid w:val="00062AB9"/>
    <w:rsid w:val="000E5748"/>
    <w:rsid w:val="000F573B"/>
    <w:rsid w:val="001237F3"/>
    <w:rsid w:val="00123D6B"/>
    <w:rsid w:val="00127338"/>
    <w:rsid w:val="00151EB8"/>
    <w:rsid w:val="001B7866"/>
    <w:rsid w:val="001F43D7"/>
    <w:rsid w:val="00203AE9"/>
    <w:rsid w:val="00256A84"/>
    <w:rsid w:val="0027445F"/>
    <w:rsid w:val="00284486"/>
    <w:rsid w:val="002B1AB7"/>
    <w:rsid w:val="002D307D"/>
    <w:rsid w:val="002D778D"/>
    <w:rsid w:val="00317568"/>
    <w:rsid w:val="00340BDD"/>
    <w:rsid w:val="003A4FE8"/>
    <w:rsid w:val="003B2915"/>
    <w:rsid w:val="003E02CB"/>
    <w:rsid w:val="00405AED"/>
    <w:rsid w:val="00406A93"/>
    <w:rsid w:val="00440B9B"/>
    <w:rsid w:val="004509BF"/>
    <w:rsid w:val="00453841"/>
    <w:rsid w:val="0045598A"/>
    <w:rsid w:val="0047068B"/>
    <w:rsid w:val="00485200"/>
    <w:rsid w:val="004A19EF"/>
    <w:rsid w:val="00536605"/>
    <w:rsid w:val="00552733"/>
    <w:rsid w:val="0056058B"/>
    <w:rsid w:val="0056512E"/>
    <w:rsid w:val="005F49BB"/>
    <w:rsid w:val="00630641"/>
    <w:rsid w:val="00631422"/>
    <w:rsid w:val="006427B3"/>
    <w:rsid w:val="00656029"/>
    <w:rsid w:val="006732E5"/>
    <w:rsid w:val="006809CA"/>
    <w:rsid w:val="00682557"/>
    <w:rsid w:val="00682A1F"/>
    <w:rsid w:val="00687B6A"/>
    <w:rsid w:val="006D1592"/>
    <w:rsid w:val="006E52D1"/>
    <w:rsid w:val="00755840"/>
    <w:rsid w:val="0076631F"/>
    <w:rsid w:val="00780736"/>
    <w:rsid w:val="0079706D"/>
    <w:rsid w:val="007E6EFA"/>
    <w:rsid w:val="008326B5"/>
    <w:rsid w:val="008A5F11"/>
    <w:rsid w:val="008A611D"/>
    <w:rsid w:val="008B0859"/>
    <w:rsid w:val="008F18B7"/>
    <w:rsid w:val="008F3C9B"/>
    <w:rsid w:val="00927F78"/>
    <w:rsid w:val="00963F57"/>
    <w:rsid w:val="00967C45"/>
    <w:rsid w:val="009A3A0B"/>
    <w:rsid w:val="009B53C1"/>
    <w:rsid w:val="009B7418"/>
    <w:rsid w:val="009E42BE"/>
    <w:rsid w:val="00A15B9E"/>
    <w:rsid w:val="00A34D5A"/>
    <w:rsid w:val="00A51352"/>
    <w:rsid w:val="00AC4CA9"/>
    <w:rsid w:val="00B10664"/>
    <w:rsid w:val="00B47169"/>
    <w:rsid w:val="00B62CA0"/>
    <w:rsid w:val="00B93D27"/>
    <w:rsid w:val="00BA0591"/>
    <w:rsid w:val="00BC1A2C"/>
    <w:rsid w:val="00C0210B"/>
    <w:rsid w:val="00C911C5"/>
    <w:rsid w:val="00CB03F8"/>
    <w:rsid w:val="00CB1433"/>
    <w:rsid w:val="00CC471E"/>
    <w:rsid w:val="00CC5610"/>
    <w:rsid w:val="00CE60DC"/>
    <w:rsid w:val="00CF74A1"/>
    <w:rsid w:val="00D00957"/>
    <w:rsid w:val="00D54C3B"/>
    <w:rsid w:val="00DC65A6"/>
    <w:rsid w:val="00DF49F4"/>
    <w:rsid w:val="00E102DA"/>
    <w:rsid w:val="00E45C35"/>
    <w:rsid w:val="00E71B72"/>
    <w:rsid w:val="00E9230C"/>
    <w:rsid w:val="00EC010C"/>
    <w:rsid w:val="00EC1884"/>
    <w:rsid w:val="00EC4321"/>
    <w:rsid w:val="00F1511A"/>
    <w:rsid w:val="00F3293A"/>
    <w:rsid w:val="00F546DE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0D29D"/>
  <w15:docId w15:val="{ACBDECF9-E7BE-4AEE-B039-19A4CE2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6D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56A84"/>
    <w:pPr>
      <w:keepNext/>
      <w:tabs>
        <w:tab w:val="left" w:pos="722"/>
        <w:tab w:val="left" w:pos="1104"/>
        <w:tab w:val="left" w:pos="1485"/>
        <w:tab w:val="left" w:pos="1867"/>
        <w:tab w:val="left" w:pos="3902"/>
      </w:tabs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A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A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A84"/>
  </w:style>
  <w:style w:type="paragraph" w:styleId="BalloonText">
    <w:name w:val="Balloon Text"/>
    <w:basedOn w:val="Normal"/>
    <w:semiHidden/>
    <w:rsid w:val="00EC18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A5F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Indirect Cost Proposal (ICP) Checklist (Indian Tribal Governments)</vt:lpstr>
    </vt:vector>
  </TitlesOfParts>
  <Company>Department of Interior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Cost Proposal (ICP) Checklist (Indian Tribal Governments)</dc:title>
  <dc:creator>user</dc:creator>
  <cp:lastModifiedBy>Stout, Mark W</cp:lastModifiedBy>
  <cp:revision>3</cp:revision>
  <cp:lastPrinted>2015-12-29T00:54:00Z</cp:lastPrinted>
  <dcterms:created xsi:type="dcterms:W3CDTF">2020-10-27T20:31:00Z</dcterms:created>
  <dcterms:modified xsi:type="dcterms:W3CDTF">2020-10-27T22:46:00Z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8</vt:i4>
  </property>
  <property fmtid="{D5CDD505-2E9C-101B-9397-08002B2CF9AE}" pid="3" name="lqmsess">
    <vt:lpwstr>93f577e5-995c-42ed-800e-e9affb503f78</vt:lpwstr>
  </property>
</Properties>
</file>