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D54D5" w14:textId="03F2FA3E" w:rsidR="00DC0694" w:rsidRDefault="00DC0694" w:rsidP="000350D0">
      <w:pPr>
        <w:rPr>
          <w:rFonts w:ascii="Georgia" w:eastAsiaTheme="majorEastAsia" w:hAnsi="Georgia" w:cstheme="majorBidi"/>
          <w:b/>
          <w:bCs/>
          <w:color w:val="2F5496" w:themeColor="accent1" w:themeShade="BF"/>
          <w:sz w:val="40"/>
          <w:szCs w:val="40"/>
          <w:bdr w:val="none" w:sz="0" w:space="0" w:color="auto" w:frame="1"/>
        </w:rPr>
      </w:pPr>
      <w:r w:rsidRPr="00DC0694">
        <w:rPr>
          <w:rFonts w:ascii="Georgia" w:eastAsiaTheme="majorEastAsia" w:hAnsi="Georgia" w:cstheme="majorBidi"/>
          <w:b/>
          <w:bCs/>
          <w:color w:val="2F5496" w:themeColor="accent1" w:themeShade="BF"/>
          <w:sz w:val="40"/>
          <w:szCs w:val="40"/>
          <w:bdr w:val="none" w:sz="0" w:space="0" w:color="auto" w:frame="1"/>
        </w:rPr>
        <w:t>Shared Certificates Program Update</w:t>
      </w:r>
      <w:r>
        <w:rPr>
          <w:rFonts w:ascii="Georgia" w:eastAsiaTheme="majorEastAsia" w:hAnsi="Georgia" w:cstheme="majorBidi"/>
          <w:b/>
          <w:bCs/>
          <w:color w:val="2F5496" w:themeColor="accent1" w:themeShade="BF"/>
          <w:sz w:val="40"/>
          <w:szCs w:val="40"/>
          <w:bdr w:val="none" w:sz="0" w:space="0" w:color="auto" w:frame="1"/>
        </w:rPr>
        <w:br/>
      </w:r>
      <w:r w:rsidRPr="00DC0694">
        <w:rPr>
          <w:rFonts w:ascii="Georgia" w:eastAsiaTheme="majorEastAsia" w:hAnsi="Georgia" w:cstheme="majorBidi"/>
          <w:b/>
          <w:bCs/>
          <w:color w:val="2F5496" w:themeColor="accent1" w:themeShade="BF"/>
          <w:sz w:val="40"/>
          <w:szCs w:val="40"/>
          <w:bdr w:val="none" w:sz="0" w:space="0" w:color="auto" w:frame="1"/>
        </w:rPr>
        <w:t>(DOI Personnel Bulletins 20-14 and 20-17)</w:t>
      </w:r>
    </w:p>
    <w:p w14:paraId="546AE231" w14:textId="77777777" w:rsidR="00166675" w:rsidRPr="00166675" w:rsidRDefault="00166675" w:rsidP="00166675">
      <w:pPr>
        <w:pStyle w:val="Heading2"/>
      </w:pPr>
      <w:r w:rsidRPr="00166675">
        <w:t xml:space="preserve">Beginning October 5, 2021, hiring managers can share certificates of candidates across DOI bureaus and offices. </w:t>
      </w:r>
    </w:p>
    <w:p w14:paraId="2AFAAD52" w14:textId="6DD7ED57" w:rsidR="00166675" w:rsidRDefault="00166675" w:rsidP="00166675">
      <w:r w:rsidRPr="00166675">
        <w:t xml:space="preserve">The Department’s Office of Human Capital established the Shared Certificates Program (Personnel Bulletins </w:t>
      </w:r>
      <w:hyperlink r:id="rId8">
        <w:r w:rsidRPr="00166675">
          <w:rPr>
            <w:rStyle w:val="Hyperlink"/>
          </w:rPr>
          <w:t>20-14</w:t>
        </w:r>
      </w:hyperlink>
      <w:r w:rsidRPr="00166675">
        <w:t xml:space="preserve"> </w:t>
      </w:r>
      <w:r w:rsidRPr="00166675" w:rsidDel="002F0322">
        <w:t xml:space="preserve">and </w:t>
      </w:r>
      <w:hyperlink r:id="rId9" w:history="1">
        <w:r w:rsidRPr="00166675" w:rsidDel="002F0322">
          <w:rPr>
            <w:rStyle w:val="Hyperlink"/>
          </w:rPr>
          <w:t>20-17</w:t>
        </w:r>
      </w:hyperlink>
      <w:r w:rsidRPr="00166675">
        <w:t>)</w:t>
      </w:r>
      <w:r w:rsidRPr="00166675" w:rsidDel="002F0322">
        <w:t xml:space="preserve"> </w:t>
      </w:r>
      <w:r w:rsidRPr="00166675">
        <w:t>to expedite the hiring process. The program allows DOI Human Resources Offices to share Delegated Examining, Merit Promotion, Direct Hire Authority, and non-competitive certificates across DOI bureaus and offices. Hiring managers are able to share certificates or receive certificates from another DOI organization according to the following criteria:</w:t>
      </w:r>
    </w:p>
    <w:p w14:paraId="1F23DF3B" w14:textId="77777777" w:rsidR="008A5D6B" w:rsidRDefault="008A5D6B" w:rsidP="008A5D6B">
      <w:pPr>
        <w:pStyle w:val="Heading1"/>
      </w:pPr>
      <w:r w:rsidRPr="003D1519">
        <w:t>Criteria for Shared Certificates</w:t>
      </w:r>
    </w:p>
    <w:tbl>
      <w:tblPr>
        <w:tblStyle w:val="TableGrid"/>
        <w:tblW w:w="4750" w:type="pct"/>
        <w:tblLayout w:type="fixed"/>
        <w:tblLook w:val="04A0" w:firstRow="1" w:lastRow="0" w:firstColumn="1" w:lastColumn="0" w:noHBand="0" w:noVBand="1"/>
      </w:tblPr>
      <w:tblGrid>
        <w:gridCol w:w="565"/>
        <w:gridCol w:w="9686"/>
      </w:tblGrid>
      <w:tr w:rsidR="008D7B7B" w:rsidRPr="008D7B7B" w14:paraId="39C03FD9" w14:textId="77777777" w:rsidTr="008D7B7B">
        <w:trPr>
          <w:trHeight w:val="144"/>
        </w:trPr>
        <w:tc>
          <w:tcPr>
            <w:tcW w:w="490" w:type="dxa"/>
          </w:tcPr>
          <w:p w14:paraId="5F4B28BC" w14:textId="77777777" w:rsidR="008D7B7B" w:rsidRPr="008D7B7B" w:rsidRDefault="008D7B7B" w:rsidP="008D7B7B">
            <w:pPr>
              <w:jc w:val="center"/>
              <w:rPr>
                <w:b/>
                <w:bCs/>
              </w:rPr>
            </w:pPr>
            <w:r w:rsidRPr="008D7B7B">
              <w:rPr>
                <w:b/>
                <w:bCs/>
              </w:rPr>
              <w:t>1</w:t>
            </w:r>
          </w:p>
        </w:tc>
        <w:tc>
          <w:tcPr>
            <w:tcW w:w="8402" w:type="dxa"/>
          </w:tcPr>
          <w:p w14:paraId="6166A476" w14:textId="77777777" w:rsidR="008D7B7B" w:rsidRPr="008D7B7B" w:rsidRDefault="008D7B7B" w:rsidP="008D7B7B">
            <w:r w:rsidRPr="008D7B7B">
              <w:t>Position is within IBC client base</w:t>
            </w:r>
          </w:p>
        </w:tc>
      </w:tr>
      <w:tr w:rsidR="008D7B7B" w:rsidRPr="008D7B7B" w14:paraId="66D460F4" w14:textId="77777777" w:rsidTr="008D7B7B">
        <w:trPr>
          <w:trHeight w:val="144"/>
        </w:trPr>
        <w:tc>
          <w:tcPr>
            <w:tcW w:w="490" w:type="dxa"/>
          </w:tcPr>
          <w:p w14:paraId="1F5E40C6" w14:textId="77777777" w:rsidR="008D7B7B" w:rsidRPr="008D7B7B" w:rsidRDefault="008D7B7B" w:rsidP="008D7B7B">
            <w:pPr>
              <w:jc w:val="center"/>
              <w:rPr>
                <w:b/>
                <w:bCs/>
              </w:rPr>
            </w:pPr>
            <w:r w:rsidRPr="008D7B7B">
              <w:rPr>
                <w:b/>
                <w:bCs/>
              </w:rPr>
              <w:t>2</w:t>
            </w:r>
          </w:p>
        </w:tc>
        <w:tc>
          <w:tcPr>
            <w:tcW w:w="8402" w:type="dxa"/>
          </w:tcPr>
          <w:p w14:paraId="7DE7B6B4" w14:textId="77777777" w:rsidR="008D7B7B" w:rsidRPr="008D7B7B" w:rsidRDefault="008D7B7B" w:rsidP="008D7B7B">
            <w:r w:rsidRPr="008D7B7B">
              <w:t>Title/Series is on the IBC list of approved positions:</w:t>
            </w:r>
          </w:p>
          <w:p w14:paraId="3D59223C" w14:textId="77777777" w:rsidR="008D7B7B" w:rsidRPr="008D7B7B" w:rsidRDefault="008D7B7B" w:rsidP="008D7B7B">
            <w:pPr>
              <w:pStyle w:val="ListParagraph"/>
              <w:numPr>
                <w:ilvl w:val="0"/>
                <w:numId w:val="29"/>
              </w:numPr>
            </w:pPr>
            <w:r w:rsidRPr="008D7B7B">
              <w:t>Accountant GS-510</w:t>
            </w:r>
          </w:p>
          <w:p w14:paraId="1F83219B" w14:textId="77777777" w:rsidR="008D7B7B" w:rsidRPr="008D7B7B" w:rsidRDefault="008D7B7B" w:rsidP="008D7B7B">
            <w:pPr>
              <w:pStyle w:val="ListParagraph"/>
              <w:numPr>
                <w:ilvl w:val="0"/>
                <w:numId w:val="29"/>
              </w:numPr>
            </w:pPr>
            <w:r w:rsidRPr="008D7B7B">
              <w:t>Auditor GS-511</w:t>
            </w:r>
          </w:p>
          <w:p w14:paraId="04ACE791" w14:textId="77777777" w:rsidR="008D7B7B" w:rsidRPr="008D7B7B" w:rsidRDefault="008D7B7B" w:rsidP="008D7B7B">
            <w:pPr>
              <w:pStyle w:val="ListParagraph"/>
              <w:numPr>
                <w:ilvl w:val="0"/>
                <w:numId w:val="29"/>
              </w:numPr>
            </w:pPr>
            <w:r w:rsidRPr="008D7B7B">
              <w:t>Budget Analyst GS-560</w:t>
            </w:r>
          </w:p>
          <w:p w14:paraId="783C5840" w14:textId="77777777" w:rsidR="008D7B7B" w:rsidRPr="008D7B7B" w:rsidRDefault="008D7B7B" w:rsidP="008D7B7B">
            <w:pPr>
              <w:pStyle w:val="ListParagraph"/>
              <w:numPr>
                <w:ilvl w:val="0"/>
                <w:numId w:val="29"/>
              </w:numPr>
            </w:pPr>
            <w:r w:rsidRPr="008D7B7B">
              <w:t>Facilities Services Specialist GS-1601</w:t>
            </w:r>
          </w:p>
          <w:p w14:paraId="3E128064" w14:textId="77777777" w:rsidR="008D7B7B" w:rsidRPr="008D7B7B" w:rsidRDefault="008D7B7B" w:rsidP="008D7B7B">
            <w:pPr>
              <w:pStyle w:val="ListParagraph"/>
              <w:numPr>
                <w:ilvl w:val="0"/>
                <w:numId w:val="29"/>
              </w:numPr>
            </w:pPr>
            <w:r w:rsidRPr="008D7B7B">
              <w:t>Secretary GS-318</w:t>
            </w:r>
          </w:p>
        </w:tc>
      </w:tr>
      <w:tr w:rsidR="008D7B7B" w:rsidRPr="008D7B7B" w14:paraId="47EF8340" w14:textId="77777777" w:rsidTr="008D7B7B">
        <w:trPr>
          <w:trHeight w:val="144"/>
        </w:trPr>
        <w:tc>
          <w:tcPr>
            <w:tcW w:w="490" w:type="dxa"/>
          </w:tcPr>
          <w:p w14:paraId="7C986EAB" w14:textId="77777777" w:rsidR="008D7B7B" w:rsidRPr="008D7B7B" w:rsidRDefault="008D7B7B" w:rsidP="008D7B7B">
            <w:pPr>
              <w:jc w:val="center"/>
              <w:rPr>
                <w:b/>
                <w:bCs/>
              </w:rPr>
            </w:pPr>
            <w:r w:rsidRPr="008D7B7B">
              <w:rPr>
                <w:b/>
                <w:bCs/>
              </w:rPr>
              <w:t>3</w:t>
            </w:r>
          </w:p>
        </w:tc>
        <w:tc>
          <w:tcPr>
            <w:tcW w:w="8402" w:type="dxa"/>
          </w:tcPr>
          <w:p w14:paraId="7EDA83E3" w14:textId="77777777" w:rsidR="008D7B7B" w:rsidRPr="008D7B7B" w:rsidRDefault="008D7B7B" w:rsidP="008D7B7B">
            <w:r w:rsidRPr="008D7B7B">
              <w:t xml:space="preserve">Position meets all criteria outlined in PB </w:t>
            </w:r>
            <w:hyperlink r:id="rId10" w:history="1">
              <w:r w:rsidRPr="008D7B7B">
                <w:rPr>
                  <w:rStyle w:val="Hyperlink"/>
                </w:rPr>
                <w:t>20-14</w:t>
              </w:r>
            </w:hyperlink>
            <w:r w:rsidRPr="008D7B7B">
              <w:t xml:space="preserve"> and PB </w:t>
            </w:r>
            <w:hyperlink r:id="rId11" w:history="1">
              <w:r w:rsidRPr="008D7B7B">
                <w:rPr>
                  <w:rStyle w:val="Hyperlink"/>
                </w:rPr>
                <w:t>20-17</w:t>
              </w:r>
            </w:hyperlink>
          </w:p>
          <w:p w14:paraId="20029FB7" w14:textId="77777777" w:rsidR="008D7B7B" w:rsidRPr="008D7B7B" w:rsidRDefault="008D7B7B" w:rsidP="008D7B7B">
            <w:pPr>
              <w:pStyle w:val="ListParagraph"/>
              <w:numPr>
                <w:ilvl w:val="0"/>
                <w:numId w:val="30"/>
              </w:numPr>
            </w:pPr>
            <w:r w:rsidRPr="008D7B7B">
              <w:t>The job opportunity announcement must be open to all DOI or broader area of consideration.</w:t>
            </w:r>
          </w:p>
          <w:p w14:paraId="1FB5F9E3" w14:textId="77777777" w:rsidR="008D7B7B" w:rsidRPr="008D7B7B" w:rsidRDefault="008D7B7B" w:rsidP="008D7B7B">
            <w:pPr>
              <w:pStyle w:val="ListParagraph"/>
              <w:numPr>
                <w:ilvl w:val="0"/>
                <w:numId w:val="30"/>
              </w:numPr>
            </w:pPr>
            <w:r w:rsidRPr="008D7B7B">
              <w:t>The certificate must be active.</w:t>
            </w:r>
          </w:p>
          <w:p w14:paraId="23403B1B" w14:textId="77777777" w:rsidR="008D7B7B" w:rsidRPr="008D7B7B" w:rsidRDefault="008D7B7B" w:rsidP="008D7B7B">
            <w:pPr>
              <w:pStyle w:val="ListParagraph"/>
              <w:numPr>
                <w:ilvl w:val="0"/>
                <w:numId w:val="30"/>
              </w:numPr>
            </w:pPr>
            <w:r w:rsidRPr="008D7B7B">
              <w:t>The position must be in the same series, grade level and full performance level.</w:t>
            </w:r>
          </w:p>
          <w:p w14:paraId="722832C7" w14:textId="77777777" w:rsidR="008D7B7B" w:rsidRPr="008D7B7B" w:rsidRDefault="008D7B7B" w:rsidP="008D7B7B">
            <w:pPr>
              <w:pStyle w:val="ListParagraph"/>
              <w:numPr>
                <w:ilvl w:val="0"/>
                <w:numId w:val="30"/>
              </w:numPr>
            </w:pPr>
            <w:r w:rsidRPr="008D7B7B">
              <w:t>The appointment type must be the same (e.g., permanent, temporary, term).</w:t>
            </w:r>
          </w:p>
          <w:p w14:paraId="0B30F06F" w14:textId="77777777" w:rsidR="008D7B7B" w:rsidRPr="008D7B7B" w:rsidRDefault="008D7B7B" w:rsidP="008D7B7B">
            <w:pPr>
              <w:pStyle w:val="ListParagraph"/>
              <w:numPr>
                <w:ilvl w:val="0"/>
                <w:numId w:val="30"/>
              </w:numPr>
            </w:pPr>
            <w:r w:rsidRPr="008D7B7B">
              <w:t>The position has the same work schedule (full-time, part-time, seasonal, etc.), but does not have to have the same tour of duty.</w:t>
            </w:r>
          </w:p>
          <w:p w14:paraId="6F849AC7" w14:textId="77777777" w:rsidR="008D7B7B" w:rsidRPr="008D7B7B" w:rsidRDefault="008D7B7B" w:rsidP="008D7B7B">
            <w:pPr>
              <w:pStyle w:val="ListParagraph"/>
              <w:numPr>
                <w:ilvl w:val="0"/>
                <w:numId w:val="30"/>
              </w:numPr>
            </w:pPr>
            <w:r w:rsidRPr="008D7B7B">
              <w:t>The position must have the same selective factors, if applicable.</w:t>
            </w:r>
          </w:p>
          <w:p w14:paraId="4D32B6EF" w14:textId="77777777" w:rsidR="008D7B7B" w:rsidRPr="008D7B7B" w:rsidRDefault="008D7B7B" w:rsidP="008D7B7B">
            <w:pPr>
              <w:pStyle w:val="ListParagraph"/>
              <w:numPr>
                <w:ilvl w:val="0"/>
                <w:numId w:val="30"/>
              </w:numPr>
            </w:pPr>
            <w:r w:rsidRPr="008D7B7B">
              <w:t>The position must have the same testing requirements.</w:t>
            </w:r>
          </w:p>
          <w:p w14:paraId="2DA0C55E" w14:textId="77777777" w:rsidR="008D7B7B" w:rsidRPr="008D7B7B" w:rsidRDefault="008D7B7B" w:rsidP="008D7B7B">
            <w:pPr>
              <w:pStyle w:val="ListParagraph"/>
              <w:numPr>
                <w:ilvl w:val="0"/>
                <w:numId w:val="30"/>
              </w:numPr>
            </w:pPr>
            <w:r w:rsidRPr="008D7B7B">
              <w:t>The major duties of the position are the same or similar.</w:t>
            </w:r>
          </w:p>
          <w:p w14:paraId="0BC07920" w14:textId="77777777" w:rsidR="008D7B7B" w:rsidRPr="008D7B7B" w:rsidRDefault="008D7B7B" w:rsidP="008D7B7B">
            <w:pPr>
              <w:pStyle w:val="ListParagraph"/>
              <w:numPr>
                <w:ilvl w:val="0"/>
                <w:numId w:val="30"/>
              </w:numPr>
            </w:pPr>
            <w:r w:rsidRPr="008D7B7B">
              <w:t>The position must have comparable specialized experience requirements.</w:t>
            </w:r>
          </w:p>
          <w:p w14:paraId="71F36929" w14:textId="77777777" w:rsidR="008D7B7B" w:rsidRPr="008D7B7B" w:rsidRDefault="008D7B7B" w:rsidP="008D7B7B">
            <w:pPr>
              <w:pStyle w:val="ListParagraph"/>
              <w:numPr>
                <w:ilvl w:val="0"/>
                <w:numId w:val="30"/>
              </w:numPr>
            </w:pPr>
            <w:r w:rsidRPr="008D7B7B">
              <w:t>The position must have comparable knowledge, skills, and abilities as reflected in the job analysis and assessment questions.</w:t>
            </w:r>
          </w:p>
          <w:p w14:paraId="22162E00" w14:textId="77777777" w:rsidR="008D7B7B" w:rsidRPr="008D7B7B" w:rsidRDefault="008D7B7B" w:rsidP="008D7B7B">
            <w:pPr>
              <w:pStyle w:val="ListParagraph"/>
              <w:numPr>
                <w:ilvl w:val="0"/>
                <w:numId w:val="30"/>
              </w:numPr>
            </w:pPr>
            <w:r w:rsidRPr="008D7B7B">
              <w:t>The position must be within the same duty location(s), as announced, including within the same metro/commuting area.</w:t>
            </w:r>
          </w:p>
        </w:tc>
      </w:tr>
    </w:tbl>
    <w:p w14:paraId="0FB9188C" w14:textId="26A82A33" w:rsidR="00166675" w:rsidRDefault="00166675" w:rsidP="00166675"/>
    <w:p w14:paraId="1C67C0F8" w14:textId="46FE366C" w:rsidR="00484FDE" w:rsidRPr="00484FDE" w:rsidRDefault="00484FDE" w:rsidP="00484FDE">
      <w:r w:rsidRPr="00484FDE">
        <w:t>If the position meets the criteria, the HR Specialist will add specific language in the announcement as outlined in the DOI Personnel Bulletins and will also add an opt-in/opt-out option for the applicants. Once the hiring manager has made a selection, the certificates become eligible to be shared with other hiring managers upon request. Additionally, when hiring managers have an approval to hire that meets the criteria, they may also request to receive an eligible shared certificate if available. The receipt of a shared certificate can expedite the hiring process as the initial recruitment process will have already been completed.</w:t>
      </w:r>
    </w:p>
    <w:p w14:paraId="0F79869C" w14:textId="77777777" w:rsidR="004E1135" w:rsidRPr="000350D0" w:rsidRDefault="004E1135" w:rsidP="004E1135">
      <w:pPr>
        <w:rPr>
          <w:rFonts w:ascii="Georgia" w:eastAsiaTheme="majorEastAsia" w:hAnsi="Georgia" w:cstheme="majorBidi"/>
          <w:b/>
          <w:bCs/>
          <w:color w:val="2F5496" w:themeColor="accent1" w:themeShade="BF"/>
          <w:sz w:val="40"/>
          <w:szCs w:val="40"/>
          <w:bdr w:val="none" w:sz="0" w:space="0" w:color="auto" w:frame="1"/>
        </w:rPr>
      </w:pPr>
      <w:r w:rsidRPr="000350D0">
        <w:rPr>
          <w:rFonts w:ascii="Georgia" w:eastAsiaTheme="majorEastAsia" w:hAnsi="Georgia" w:cstheme="majorBidi"/>
          <w:b/>
          <w:bCs/>
          <w:color w:val="2F5496" w:themeColor="accent1" w:themeShade="BF"/>
          <w:sz w:val="40"/>
          <w:szCs w:val="40"/>
          <w:bdr w:val="none" w:sz="0" w:space="0" w:color="auto" w:frame="1"/>
        </w:rPr>
        <w:t>Questions?</w:t>
      </w:r>
    </w:p>
    <w:p w14:paraId="442DBE8E" w14:textId="3B584EA0" w:rsidR="004E1135" w:rsidRPr="004E1135" w:rsidRDefault="008E5F7C" w:rsidP="004E1135">
      <w:r w:rsidRPr="008E5F7C">
        <w:t xml:space="preserve">If you have any questions or concerns, please contact your </w:t>
      </w:r>
      <w:hyperlink r:id="rId12" w:history="1">
        <w:r w:rsidR="004E1135" w:rsidRPr="004E1135">
          <w:rPr>
            <w:rStyle w:val="Hyperlink"/>
          </w:rPr>
          <w:t>Servicing HR Specialist</w:t>
        </w:r>
      </w:hyperlink>
      <w:r w:rsidR="004E1135" w:rsidRPr="004E1135">
        <w:t>.</w:t>
      </w:r>
    </w:p>
    <w:p w14:paraId="52931772" w14:textId="65E0BB18" w:rsidR="000350D0" w:rsidRPr="000350D0" w:rsidRDefault="004E1135" w:rsidP="000350D0">
      <w:pPr>
        <w:rPr>
          <w:rFonts w:ascii="Georgia" w:eastAsiaTheme="majorEastAsia" w:hAnsi="Georgia" w:cstheme="majorBidi"/>
          <w:b/>
          <w:bCs/>
          <w:color w:val="2F5496" w:themeColor="accent1" w:themeShade="BF"/>
          <w:sz w:val="40"/>
          <w:szCs w:val="40"/>
          <w:bdr w:val="none" w:sz="0" w:space="0" w:color="auto" w:frame="1"/>
        </w:rPr>
      </w:pPr>
      <w:r>
        <w:rPr>
          <w:rFonts w:ascii="Georgia" w:eastAsiaTheme="majorEastAsia" w:hAnsi="Georgia" w:cstheme="majorBidi"/>
          <w:b/>
          <w:bCs/>
          <w:color w:val="2F5496" w:themeColor="accent1" w:themeShade="BF"/>
          <w:sz w:val="40"/>
          <w:szCs w:val="40"/>
          <w:bdr w:val="none" w:sz="0" w:space="0" w:color="auto" w:frame="1"/>
        </w:rPr>
        <w:lastRenderedPageBreak/>
        <w:t xml:space="preserve">Additional </w:t>
      </w:r>
      <w:r w:rsidR="000350D0" w:rsidRPr="000350D0">
        <w:rPr>
          <w:rFonts w:ascii="Georgia" w:eastAsiaTheme="majorEastAsia" w:hAnsi="Georgia" w:cstheme="majorBidi"/>
          <w:b/>
          <w:bCs/>
          <w:color w:val="2F5496" w:themeColor="accent1" w:themeShade="BF"/>
          <w:sz w:val="40"/>
          <w:szCs w:val="40"/>
          <w:bdr w:val="none" w:sz="0" w:space="0" w:color="auto" w:frame="1"/>
        </w:rPr>
        <w:t>Resources</w:t>
      </w:r>
    </w:p>
    <w:p w14:paraId="7ED9F0AF" w14:textId="77777777" w:rsidR="001E4E08" w:rsidRPr="0015073C" w:rsidRDefault="001E4E08" w:rsidP="001E4E08">
      <w:pPr>
        <w:pStyle w:val="ListParagraph"/>
        <w:widowControl w:val="0"/>
        <w:numPr>
          <w:ilvl w:val="0"/>
          <w:numId w:val="31"/>
        </w:numPr>
        <w:spacing w:after="180" w:line="276" w:lineRule="auto"/>
      </w:pPr>
      <w:hyperlink r:id="rId13" w:history="1">
        <w:r w:rsidRPr="0015073C">
          <w:rPr>
            <w:rStyle w:val="Hyperlink"/>
          </w:rPr>
          <w:t>PB 20-14 Shared Certificates Policy</w:t>
        </w:r>
      </w:hyperlink>
    </w:p>
    <w:p w14:paraId="09F36090" w14:textId="77777777" w:rsidR="001E4E08" w:rsidRDefault="001E4E08" w:rsidP="001E4E08">
      <w:pPr>
        <w:pStyle w:val="ListParagraph"/>
        <w:widowControl w:val="0"/>
        <w:numPr>
          <w:ilvl w:val="0"/>
          <w:numId w:val="31"/>
        </w:numPr>
        <w:spacing w:after="180" w:line="276" w:lineRule="auto"/>
      </w:pPr>
      <w:hyperlink r:id="rId14" w:history="1">
        <w:r w:rsidRPr="0015073C">
          <w:rPr>
            <w:rStyle w:val="Hyperlink"/>
          </w:rPr>
          <w:t>PB 20-17 Delegated Examining (DE) Shared Certificates Policy</w:t>
        </w:r>
      </w:hyperlink>
    </w:p>
    <w:p w14:paraId="58CC38DF" w14:textId="77777777" w:rsidR="001E4E08" w:rsidRPr="00665382" w:rsidRDefault="001E4E08" w:rsidP="001E4E08">
      <w:pPr>
        <w:pStyle w:val="ListParagraph"/>
        <w:widowControl w:val="0"/>
        <w:numPr>
          <w:ilvl w:val="0"/>
          <w:numId w:val="31"/>
        </w:numPr>
        <w:spacing w:after="180" w:line="276" w:lineRule="auto"/>
        <w:rPr>
          <w:rStyle w:val="Hyperlink"/>
          <w:color w:val="222222"/>
        </w:rPr>
      </w:pPr>
      <w:hyperlink r:id="rId15" w:history="1">
        <w:r w:rsidRPr="0015073C">
          <w:rPr>
            <w:rStyle w:val="Hyperlink"/>
          </w:rPr>
          <w:t>Expediting the Hiring Process and Enriching the Applicant Pool</w:t>
        </w:r>
      </w:hyperlink>
    </w:p>
    <w:p w14:paraId="4EB9C8AC" w14:textId="1EB80023" w:rsidR="004E1135" w:rsidRPr="000350D0" w:rsidRDefault="001E4E08" w:rsidP="001E4E08">
      <w:pPr>
        <w:pStyle w:val="ListParagraph"/>
        <w:widowControl w:val="0"/>
        <w:numPr>
          <w:ilvl w:val="0"/>
          <w:numId w:val="31"/>
        </w:numPr>
        <w:spacing w:after="180" w:line="276" w:lineRule="auto"/>
      </w:pPr>
      <w:hyperlink r:id="rId16" w:history="1">
        <w:r w:rsidRPr="00E420D7">
          <w:rPr>
            <w:rStyle w:val="Hyperlink"/>
          </w:rPr>
          <w:t>IBC Supervisor’s Toolkit</w:t>
        </w:r>
      </w:hyperlink>
    </w:p>
    <w:sectPr w:rsidR="004E1135" w:rsidRPr="000350D0"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07CB5"/>
    <w:multiLevelType w:val="hybridMultilevel"/>
    <w:tmpl w:val="07860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CC5C92"/>
    <w:multiLevelType w:val="hybridMultilevel"/>
    <w:tmpl w:val="30D4B874"/>
    <w:lvl w:ilvl="0" w:tplc="0409000F">
      <w:start w:val="1"/>
      <w:numFmt w:val="decimal"/>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42A26"/>
    <w:multiLevelType w:val="hybridMultilevel"/>
    <w:tmpl w:val="6286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446D5"/>
    <w:multiLevelType w:val="hybridMultilevel"/>
    <w:tmpl w:val="2AC4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789"/>
    <w:multiLevelType w:val="hybridMultilevel"/>
    <w:tmpl w:val="9484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C321A"/>
    <w:multiLevelType w:val="hybridMultilevel"/>
    <w:tmpl w:val="95B6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B10FE5"/>
    <w:multiLevelType w:val="hybridMultilevel"/>
    <w:tmpl w:val="FF88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B0693"/>
    <w:multiLevelType w:val="hybridMultilevel"/>
    <w:tmpl w:val="2238375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710538B"/>
    <w:multiLevelType w:val="hybridMultilevel"/>
    <w:tmpl w:val="FCF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5E4983"/>
    <w:multiLevelType w:val="hybridMultilevel"/>
    <w:tmpl w:val="CF9E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12AB4"/>
    <w:multiLevelType w:val="hybridMultilevel"/>
    <w:tmpl w:val="BA98E26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2A5D7251"/>
    <w:multiLevelType w:val="hybridMultilevel"/>
    <w:tmpl w:val="D926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A205B5"/>
    <w:multiLevelType w:val="hybridMultilevel"/>
    <w:tmpl w:val="2028F6A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7" w15:restartNumberingAfterBreak="0">
    <w:nsid w:val="47B9437C"/>
    <w:multiLevelType w:val="hybridMultilevel"/>
    <w:tmpl w:val="6FACB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43F8F"/>
    <w:multiLevelType w:val="hybridMultilevel"/>
    <w:tmpl w:val="166A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31B72"/>
    <w:multiLevelType w:val="hybridMultilevel"/>
    <w:tmpl w:val="1F707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DC435F"/>
    <w:multiLevelType w:val="hybridMultilevel"/>
    <w:tmpl w:val="BD1A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A3308E"/>
    <w:multiLevelType w:val="hybridMultilevel"/>
    <w:tmpl w:val="CCF2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D3033"/>
    <w:multiLevelType w:val="hybridMultilevel"/>
    <w:tmpl w:val="8564C09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671E45BA"/>
    <w:multiLevelType w:val="hybridMultilevel"/>
    <w:tmpl w:val="5F70B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C808EC"/>
    <w:multiLevelType w:val="hybridMultilevel"/>
    <w:tmpl w:val="06C6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9C30B1"/>
    <w:multiLevelType w:val="hybridMultilevel"/>
    <w:tmpl w:val="898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549AD"/>
    <w:multiLevelType w:val="hybridMultilevel"/>
    <w:tmpl w:val="6022930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758413DF"/>
    <w:multiLevelType w:val="hybridMultilevel"/>
    <w:tmpl w:val="067A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33B31"/>
    <w:multiLevelType w:val="hybridMultilevel"/>
    <w:tmpl w:val="2694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3"/>
  </w:num>
  <w:num w:numId="3">
    <w:abstractNumId w:val="28"/>
  </w:num>
  <w:num w:numId="4">
    <w:abstractNumId w:val="2"/>
  </w:num>
  <w:num w:numId="5">
    <w:abstractNumId w:val="15"/>
  </w:num>
  <w:num w:numId="6">
    <w:abstractNumId w:val="30"/>
  </w:num>
  <w:num w:numId="7">
    <w:abstractNumId w:val="22"/>
  </w:num>
  <w:num w:numId="8">
    <w:abstractNumId w:val="26"/>
  </w:num>
  <w:num w:numId="9">
    <w:abstractNumId w:val="27"/>
  </w:num>
  <w:num w:numId="10">
    <w:abstractNumId w:val="7"/>
  </w:num>
  <w:num w:numId="11">
    <w:abstractNumId w:val="29"/>
  </w:num>
  <w:num w:numId="12">
    <w:abstractNumId w:val="0"/>
  </w:num>
  <w:num w:numId="13">
    <w:abstractNumId w:val="8"/>
  </w:num>
  <w:num w:numId="14">
    <w:abstractNumId w:val="4"/>
  </w:num>
  <w:num w:numId="15">
    <w:abstractNumId w:val="17"/>
  </w:num>
  <w:num w:numId="16">
    <w:abstractNumId w:val="5"/>
  </w:num>
  <w:num w:numId="17">
    <w:abstractNumId w:val="1"/>
  </w:num>
  <w:num w:numId="18">
    <w:abstractNumId w:val="16"/>
  </w:num>
  <w:num w:numId="19">
    <w:abstractNumId w:val="24"/>
  </w:num>
  <w:num w:numId="20">
    <w:abstractNumId w:val="20"/>
  </w:num>
  <w:num w:numId="21">
    <w:abstractNumId w:val="12"/>
  </w:num>
  <w:num w:numId="22">
    <w:abstractNumId w:val="18"/>
  </w:num>
  <w:num w:numId="23">
    <w:abstractNumId w:val="3"/>
  </w:num>
  <w:num w:numId="24">
    <w:abstractNumId w:val="11"/>
  </w:num>
  <w:num w:numId="25">
    <w:abstractNumId w:val="9"/>
  </w:num>
  <w:num w:numId="26">
    <w:abstractNumId w:val="25"/>
  </w:num>
  <w:num w:numId="27">
    <w:abstractNumId w:val="10"/>
  </w:num>
  <w:num w:numId="28">
    <w:abstractNumId w:val="21"/>
  </w:num>
  <w:num w:numId="29">
    <w:abstractNumId w:val="19"/>
  </w:num>
  <w:num w:numId="30">
    <w:abstractNumId w:val="2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350D0"/>
    <w:rsid w:val="0012689D"/>
    <w:rsid w:val="00166675"/>
    <w:rsid w:val="001674AF"/>
    <w:rsid w:val="001863E2"/>
    <w:rsid w:val="001E4E08"/>
    <w:rsid w:val="00297120"/>
    <w:rsid w:val="00301A8B"/>
    <w:rsid w:val="00302217"/>
    <w:rsid w:val="00311D10"/>
    <w:rsid w:val="0039792D"/>
    <w:rsid w:val="003D5C06"/>
    <w:rsid w:val="0043317C"/>
    <w:rsid w:val="0043393F"/>
    <w:rsid w:val="00470C96"/>
    <w:rsid w:val="00484391"/>
    <w:rsid w:val="00484FDE"/>
    <w:rsid w:val="004E1135"/>
    <w:rsid w:val="004E2323"/>
    <w:rsid w:val="00541BBB"/>
    <w:rsid w:val="00565F02"/>
    <w:rsid w:val="00650603"/>
    <w:rsid w:val="00654221"/>
    <w:rsid w:val="006A05E9"/>
    <w:rsid w:val="007E2A37"/>
    <w:rsid w:val="00822659"/>
    <w:rsid w:val="00843232"/>
    <w:rsid w:val="00867991"/>
    <w:rsid w:val="00872371"/>
    <w:rsid w:val="00884058"/>
    <w:rsid w:val="008A5D6B"/>
    <w:rsid w:val="008D3816"/>
    <w:rsid w:val="008D7B7B"/>
    <w:rsid w:val="008E5F7C"/>
    <w:rsid w:val="00997ECD"/>
    <w:rsid w:val="009C2873"/>
    <w:rsid w:val="009D525B"/>
    <w:rsid w:val="00A97BA6"/>
    <w:rsid w:val="00AC4707"/>
    <w:rsid w:val="00B60E08"/>
    <w:rsid w:val="00B93764"/>
    <w:rsid w:val="00BA0E28"/>
    <w:rsid w:val="00C273DE"/>
    <w:rsid w:val="00C563BA"/>
    <w:rsid w:val="00D62361"/>
    <w:rsid w:val="00DA39DF"/>
    <w:rsid w:val="00DA6A88"/>
    <w:rsid w:val="00DC0694"/>
    <w:rsid w:val="00DE5221"/>
    <w:rsid w:val="00E1219F"/>
    <w:rsid w:val="00E132EC"/>
    <w:rsid w:val="00E752B6"/>
    <w:rsid w:val="00E8341E"/>
    <w:rsid w:val="00F44723"/>
    <w:rsid w:val="00FA4D2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paragraph" w:styleId="Heading5">
    <w:name w:val="heading 5"/>
    <w:basedOn w:val="Normal"/>
    <w:next w:val="Normal"/>
    <w:link w:val="Heading5Char"/>
    <w:uiPriority w:val="9"/>
    <w:semiHidden/>
    <w:unhideWhenUsed/>
    <w:qFormat/>
    <w:rsid w:val="001666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NoSpacing">
    <w:name w:val="No Spacing"/>
    <w:uiPriority w:val="1"/>
    <w:qFormat/>
    <w:rsid w:val="00565F02"/>
    <w:pPr>
      <w:widowControl w:val="0"/>
      <w:spacing w:after="0" w:line="240" w:lineRule="auto"/>
    </w:pPr>
    <w:rPr>
      <w:rFonts w:ascii="Verdana" w:eastAsia="Verdana" w:hAnsi="Verdana" w:cs="Verdana"/>
      <w:color w:val="222222"/>
      <w:lang w:val="en"/>
    </w:rPr>
  </w:style>
  <w:style w:type="table" w:styleId="TableGrid">
    <w:name w:val="Table Grid"/>
    <w:basedOn w:val="TableNormal"/>
    <w:uiPriority w:val="39"/>
    <w:rsid w:val="008D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113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5Char">
    <w:name w:val="Heading 5 Char"/>
    <w:basedOn w:val="DefaultParagraphFont"/>
    <w:link w:val="Heading5"/>
    <w:uiPriority w:val="9"/>
    <w:semiHidden/>
    <w:rsid w:val="00166675"/>
    <w:rPr>
      <w:rFonts w:asciiTheme="majorHAnsi" w:eastAsiaTheme="majorEastAsia" w:hAnsiTheme="majorHAnsi" w:cstheme="majorBidi"/>
      <w:color w:val="2F5496" w:themeColor="accent1" w:themeShade="BF"/>
    </w:rPr>
  </w:style>
  <w:style w:type="table" w:styleId="TableGridLight">
    <w:name w:val="Grid Table Light"/>
    <w:basedOn w:val="TableNormal"/>
    <w:uiPriority w:val="40"/>
    <w:rsid w:val="008D7B7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sites/doi.gov/files/elips/documents/personnel-bulletin-20-14-shared-certificate-policy-508compliant.pdf" TargetMode="External"/><Relationship Id="rId13" Type="http://schemas.openxmlformats.org/officeDocument/2006/relationships/hyperlink" Target="https://www.doi.gov/sites/doi.gov/files/elips/documents/personnel-bulletin-20-14-shared-certificate-policy-508complia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c.doi.gov/HRD/hr-services-contac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bc.doi.gov/HRD/supervisor-toolki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i.gov/sites/doi.gov/files/elips/documents/pb-20-17-delegated-examining-unit-shared-certificates-policy-final-11.18.2020.pdf" TargetMode="External"/><Relationship Id="rId5" Type="http://schemas.openxmlformats.org/officeDocument/2006/relationships/styles" Target="styles.xml"/><Relationship Id="rId15" Type="http://schemas.openxmlformats.org/officeDocument/2006/relationships/hyperlink" Target="https://www.doi.gov/sites/doi.gov/files/2020.10.13-memo-expediting-the-hiring-process-and-enriching-the-applicant-pool.pdf" TargetMode="External"/><Relationship Id="rId10" Type="http://schemas.openxmlformats.org/officeDocument/2006/relationships/hyperlink" Target="https://www.doi.gov/sites/doi.gov/files/elips/documents/personnel-bulletin-20-14-shared-certificate-policy-508compliant.pdf" TargetMode="External"/><Relationship Id="rId4" Type="http://schemas.openxmlformats.org/officeDocument/2006/relationships/numbering" Target="numbering.xml"/><Relationship Id="rId9" Type="http://schemas.openxmlformats.org/officeDocument/2006/relationships/hyperlink" Target="https://www.doi.gov/sites/doi.gov/files/elips/documents/pb-20-17-delegated-examining-unit-shared-certificates-policy-final-11.18.2020.pdf" TargetMode="External"/><Relationship Id="rId14" Type="http://schemas.openxmlformats.org/officeDocument/2006/relationships/hyperlink" Target="https://www.doi.gov/sites/doi.gov/files/elips/documents/pb-20-17-delegated-examining-unit-shared-certificates-policy-final-11.18.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C156A-4ED6-4EC0-B53B-11EDC794B6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590</Words>
  <Characters>3364</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10</cp:revision>
  <dcterms:created xsi:type="dcterms:W3CDTF">2021-10-05T14:17:00Z</dcterms:created>
  <dcterms:modified xsi:type="dcterms:W3CDTF">2021-10-05T14:21:00Z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