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4197" w14:textId="77777777" w:rsidR="00332896" w:rsidRPr="00F156C6" w:rsidRDefault="00332896" w:rsidP="00332896">
      <w:pPr>
        <w:pStyle w:val="Heading1"/>
      </w:pPr>
      <w:r w:rsidRPr="00F156C6">
        <w:t>202</w:t>
      </w:r>
      <w:r>
        <w:t>2</w:t>
      </w:r>
      <w:r w:rsidRPr="00F156C6">
        <w:t xml:space="preserve"> End-of-Year Payroll Reminders</w:t>
      </w:r>
    </w:p>
    <w:p w14:paraId="0AD42AE1" w14:textId="77777777" w:rsidR="00332896" w:rsidRPr="002F0406" w:rsidRDefault="00332896" w:rsidP="00332896">
      <w:pPr>
        <w:rPr>
          <w:bdr w:val="none" w:sz="0" w:space="0" w:color="auto" w:frame="1"/>
        </w:rPr>
      </w:pPr>
      <w:r w:rsidRPr="002F0406">
        <w:rPr>
          <w:bdr w:val="none" w:sz="0" w:space="0" w:color="auto" w:frame="1"/>
        </w:rPr>
        <w:t xml:space="preserve">There are </w:t>
      </w:r>
      <w:r>
        <w:rPr>
          <w:bdr w:val="none" w:sz="0" w:space="0" w:color="auto" w:frame="1"/>
        </w:rPr>
        <w:t>several</w:t>
      </w:r>
      <w:r w:rsidRPr="002F0406">
        <w:rPr>
          <w:bdr w:val="none" w:sz="0" w:space="0" w:color="auto" w:frame="1"/>
        </w:rPr>
        <w:t xml:space="preserve"> upcoming events for you to be aware of as we approach the end of calendar year 202</w:t>
      </w:r>
      <w:r>
        <w:rPr>
          <w:bdr w:val="none" w:sz="0" w:space="0" w:color="auto" w:frame="1"/>
        </w:rPr>
        <w:t>2</w:t>
      </w:r>
      <w:r w:rsidRPr="002F0406">
        <w:rPr>
          <w:bdr w:val="none" w:sz="0" w:space="0" w:color="auto" w:frame="1"/>
        </w:rPr>
        <w:t xml:space="preserve"> and begin calendar year 202</w:t>
      </w:r>
      <w:r>
        <w:rPr>
          <w:bdr w:val="none" w:sz="0" w:space="0" w:color="auto" w:frame="1"/>
        </w:rPr>
        <w:t>3</w:t>
      </w:r>
      <w:r w:rsidRPr="002F0406">
        <w:rPr>
          <w:bdr w:val="none" w:sz="0" w:space="0" w:color="auto" w:frame="1"/>
        </w:rPr>
        <w:t xml:space="preserve">. For your convenience, we prepared an online </w:t>
      </w:r>
      <w:hyperlink r:id="rId8" w:history="1">
        <w:r w:rsidRPr="002F0406">
          <w:rPr>
            <w:rStyle w:val="Hyperlink"/>
            <w:rFonts w:asciiTheme="minorHAnsi" w:hAnsiTheme="minorHAnsi" w:cstheme="minorBidi"/>
            <w:b/>
            <w:bCs/>
            <w:bdr w:val="none" w:sz="0" w:space="0" w:color="auto" w:frame="1"/>
          </w:rPr>
          <w:t>Guide</w:t>
        </w:r>
      </w:hyperlink>
      <w:r w:rsidRPr="002F0406">
        <w:rPr>
          <w:bdr w:val="none" w:sz="0" w:space="0" w:color="auto" w:frame="1"/>
        </w:rPr>
        <w:t xml:space="preserve"> with important information on the following topics:</w:t>
      </w:r>
    </w:p>
    <w:p w14:paraId="6ADAF5FC" w14:textId="77777777" w:rsidR="00332896" w:rsidRPr="00F156C6" w:rsidRDefault="00332896" w:rsidP="00332896">
      <w:pPr>
        <w:pStyle w:val="Heading2"/>
      </w:pPr>
      <w:hyperlink r:id="rId9" w:anchor="dates">
        <w:r>
          <w:rPr>
            <w:rStyle w:val="Hyperlink"/>
          </w:rPr>
          <w:t>Important Dates</w:t>
        </w:r>
      </w:hyperlink>
    </w:p>
    <w:p w14:paraId="6D1BA37B" w14:textId="77777777" w:rsidR="00332896" w:rsidRPr="00B642F5" w:rsidRDefault="00332896" w:rsidP="00332896">
      <w:pPr>
        <w:pStyle w:val="ListParagraph"/>
        <w:numPr>
          <w:ilvl w:val="0"/>
          <w:numId w:val="37"/>
        </w:numPr>
        <w:spacing w:after="0" w:line="240" w:lineRule="auto"/>
      </w:pPr>
      <w:r w:rsidRPr="00355157">
        <w:t>Number of Pay Periods</w:t>
      </w:r>
    </w:p>
    <w:p w14:paraId="585B84EB" w14:textId="77777777" w:rsidR="00332896" w:rsidRPr="00B642F5" w:rsidRDefault="00332896" w:rsidP="00332896">
      <w:pPr>
        <w:pStyle w:val="ListParagraph"/>
        <w:numPr>
          <w:ilvl w:val="0"/>
          <w:numId w:val="37"/>
        </w:numPr>
        <w:spacing w:after="0" w:line="240" w:lineRule="auto"/>
      </w:pPr>
      <w:r w:rsidRPr="00355157">
        <w:t>Calendar Tax Year</w:t>
      </w:r>
    </w:p>
    <w:p w14:paraId="4A07001D" w14:textId="77777777" w:rsidR="00332896" w:rsidRPr="00B642F5" w:rsidRDefault="00332896" w:rsidP="00332896">
      <w:pPr>
        <w:pStyle w:val="ListParagraph"/>
        <w:numPr>
          <w:ilvl w:val="0"/>
          <w:numId w:val="37"/>
        </w:numPr>
        <w:spacing w:after="0" w:line="240" w:lineRule="auto"/>
      </w:pPr>
      <w:r w:rsidRPr="00355157">
        <w:t>Leave Year</w:t>
      </w:r>
    </w:p>
    <w:p w14:paraId="099C4316" w14:textId="77777777" w:rsidR="00332896" w:rsidRPr="00B642F5" w:rsidRDefault="00332896" w:rsidP="00332896">
      <w:pPr>
        <w:pStyle w:val="ListParagraph"/>
        <w:numPr>
          <w:ilvl w:val="0"/>
          <w:numId w:val="37"/>
        </w:numPr>
        <w:spacing w:after="0" w:line="240" w:lineRule="auto"/>
      </w:pPr>
      <w:r w:rsidRPr="00355157">
        <w:t>Pay Calendars</w:t>
      </w:r>
    </w:p>
    <w:p w14:paraId="379F37DE" w14:textId="77777777" w:rsidR="00332896" w:rsidRPr="00F156C6" w:rsidRDefault="00332896" w:rsidP="00332896">
      <w:pPr>
        <w:pStyle w:val="Heading2"/>
      </w:pPr>
      <w:hyperlink r:id="rId10" w:anchor="tax" w:history="1">
        <w:r w:rsidRPr="00F156C6">
          <w:rPr>
            <w:rStyle w:val="Hyperlink"/>
          </w:rPr>
          <w:t>Tax Information</w:t>
        </w:r>
      </w:hyperlink>
    </w:p>
    <w:p w14:paraId="722F14B0" w14:textId="77777777" w:rsidR="00332896" w:rsidRPr="00B642F5" w:rsidRDefault="00332896" w:rsidP="00332896">
      <w:pPr>
        <w:pStyle w:val="ListParagraph"/>
        <w:numPr>
          <w:ilvl w:val="0"/>
          <w:numId w:val="38"/>
        </w:numPr>
        <w:spacing w:after="0" w:line="240" w:lineRule="auto"/>
      </w:pPr>
      <w:r w:rsidRPr="00355157">
        <w:t>Form W-2s</w:t>
      </w:r>
    </w:p>
    <w:p w14:paraId="1339AA5D" w14:textId="77777777" w:rsidR="00332896" w:rsidRPr="00B642F5" w:rsidRDefault="00332896" w:rsidP="00332896">
      <w:pPr>
        <w:pStyle w:val="ListParagraph"/>
        <w:numPr>
          <w:ilvl w:val="0"/>
          <w:numId w:val="38"/>
        </w:numPr>
        <w:spacing w:after="0" w:line="240" w:lineRule="auto"/>
      </w:pPr>
      <w:r w:rsidRPr="00355157">
        <w:t>Electronic W-2s</w:t>
      </w:r>
    </w:p>
    <w:p w14:paraId="2649602B" w14:textId="77777777" w:rsidR="00332896" w:rsidRPr="00B642F5" w:rsidRDefault="00332896" w:rsidP="00332896">
      <w:pPr>
        <w:pStyle w:val="ListParagraph"/>
        <w:numPr>
          <w:ilvl w:val="0"/>
          <w:numId w:val="38"/>
        </w:numPr>
        <w:spacing w:after="0" w:line="240" w:lineRule="auto"/>
      </w:pPr>
      <w:r w:rsidRPr="00355157">
        <w:t>Form 1095-C</w:t>
      </w:r>
    </w:p>
    <w:p w14:paraId="67FB15CE" w14:textId="77777777" w:rsidR="00332896" w:rsidRPr="00B642F5" w:rsidRDefault="00332896" w:rsidP="00332896">
      <w:pPr>
        <w:pStyle w:val="ListParagraph"/>
        <w:numPr>
          <w:ilvl w:val="0"/>
          <w:numId w:val="38"/>
        </w:numPr>
        <w:spacing w:after="0" w:line="240" w:lineRule="auto"/>
      </w:pPr>
      <w:r w:rsidRPr="00355157">
        <w:t>Form W-4 Claiming Exempt Withholding</w:t>
      </w:r>
    </w:p>
    <w:p w14:paraId="268064EB" w14:textId="77777777" w:rsidR="00332896" w:rsidRPr="00B642F5" w:rsidRDefault="00332896" w:rsidP="00332896">
      <w:pPr>
        <w:pStyle w:val="ListParagraph"/>
        <w:numPr>
          <w:ilvl w:val="0"/>
          <w:numId w:val="38"/>
        </w:numPr>
        <w:spacing w:after="0" w:line="240" w:lineRule="auto"/>
      </w:pPr>
      <w:r w:rsidRPr="00355157">
        <w:t>State and Local Taxes</w:t>
      </w:r>
    </w:p>
    <w:p w14:paraId="26AC401F" w14:textId="77777777" w:rsidR="00332896" w:rsidRPr="00B642F5" w:rsidRDefault="00332896" w:rsidP="00332896">
      <w:pPr>
        <w:pStyle w:val="ListParagraph"/>
        <w:numPr>
          <w:ilvl w:val="0"/>
          <w:numId w:val="38"/>
        </w:numPr>
        <w:spacing w:after="0" w:line="240" w:lineRule="auto"/>
      </w:pPr>
      <w:r w:rsidRPr="00355157">
        <w:t>Voluntary Tax Allotments</w:t>
      </w:r>
    </w:p>
    <w:p w14:paraId="3924BA4E" w14:textId="77777777" w:rsidR="00332896" w:rsidRPr="00B642F5" w:rsidRDefault="00332896" w:rsidP="00332896">
      <w:pPr>
        <w:pStyle w:val="ListParagraph"/>
        <w:numPr>
          <w:ilvl w:val="0"/>
          <w:numId w:val="38"/>
        </w:numPr>
        <w:spacing w:after="0" w:line="240" w:lineRule="auto"/>
      </w:pPr>
      <w:r w:rsidRPr="00355157">
        <w:t>Social Security (OASDI) Tax</w:t>
      </w:r>
    </w:p>
    <w:p w14:paraId="59905149" w14:textId="298212DD" w:rsidR="00332896" w:rsidRPr="00B642F5" w:rsidRDefault="00332896" w:rsidP="00332896">
      <w:pPr>
        <w:pStyle w:val="ListParagraph"/>
        <w:numPr>
          <w:ilvl w:val="0"/>
          <w:numId w:val="38"/>
        </w:numPr>
        <w:spacing w:after="0" w:line="240" w:lineRule="auto"/>
      </w:pPr>
      <w:r w:rsidRPr="00355157">
        <w:t>Occupational Privilege Tax</w:t>
      </w:r>
    </w:p>
    <w:p w14:paraId="4841F14F" w14:textId="77777777" w:rsidR="00332896" w:rsidRPr="00F156C6" w:rsidRDefault="00332896" w:rsidP="00332896">
      <w:pPr>
        <w:pStyle w:val="Heading2"/>
      </w:pPr>
      <w:hyperlink r:id="rId11" w:anchor="caps" w:history="1">
        <w:r w:rsidRPr="00F156C6">
          <w:rPr>
            <w:rStyle w:val="Hyperlink"/>
          </w:rPr>
          <w:t>Pay Caps</w:t>
        </w:r>
      </w:hyperlink>
      <w:r w:rsidRPr="00F156C6">
        <w:t xml:space="preserve"> </w:t>
      </w:r>
    </w:p>
    <w:p w14:paraId="24D33E11" w14:textId="77777777" w:rsidR="00332896" w:rsidRDefault="00332896" w:rsidP="00332896">
      <w:pPr>
        <w:pStyle w:val="ListParagraph"/>
        <w:numPr>
          <w:ilvl w:val="0"/>
          <w:numId w:val="39"/>
        </w:numPr>
        <w:spacing w:after="0" w:line="240" w:lineRule="auto"/>
      </w:pPr>
      <w:r w:rsidRPr="00355157">
        <w:t>Aggregate Pay Limitation</w:t>
      </w:r>
    </w:p>
    <w:p w14:paraId="5700C7E6" w14:textId="77777777" w:rsidR="00332896" w:rsidRPr="00E51196" w:rsidRDefault="00332896" w:rsidP="00332896">
      <w:pPr>
        <w:pStyle w:val="ListParagraph"/>
        <w:numPr>
          <w:ilvl w:val="0"/>
          <w:numId w:val="39"/>
        </w:numPr>
        <w:spacing w:line="240" w:lineRule="auto"/>
      </w:pPr>
      <w:r w:rsidRPr="00355157">
        <w:t>Annual Premium Pay Limitation</w:t>
      </w:r>
    </w:p>
    <w:p w14:paraId="5E3570B7" w14:textId="77777777" w:rsidR="00332896" w:rsidRPr="00F156C6" w:rsidRDefault="00332896" w:rsidP="00332896">
      <w:pPr>
        <w:pStyle w:val="Heading2"/>
      </w:pPr>
      <w:hyperlink r:id="rId12" w:anchor="benefits" w:history="1">
        <w:r w:rsidRPr="00F156C6">
          <w:rPr>
            <w:rStyle w:val="Hyperlink"/>
          </w:rPr>
          <w:t>Federal Benefits</w:t>
        </w:r>
      </w:hyperlink>
    </w:p>
    <w:p w14:paraId="4331F5F2" w14:textId="77777777" w:rsidR="00332896" w:rsidRDefault="00332896" w:rsidP="00332896">
      <w:pPr>
        <w:pStyle w:val="ListParagraph"/>
        <w:numPr>
          <w:ilvl w:val="0"/>
          <w:numId w:val="40"/>
        </w:numPr>
        <w:spacing w:after="0" w:line="240" w:lineRule="auto"/>
      </w:pPr>
      <w:r w:rsidRPr="00355157">
        <w:t>Transportation Benefits</w:t>
      </w:r>
    </w:p>
    <w:p w14:paraId="6EB51A1B" w14:textId="77777777" w:rsidR="00332896" w:rsidRDefault="00332896" w:rsidP="00332896">
      <w:pPr>
        <w:pStyle w:val="ListParagraph"/>
        <w:numPr>
          <w:ilvl w:val="0"/>
          <w:numId w:val="40"/>
        </w:numPr>
        <w:spacing w:after="0" w:line="240" w:lineRule="auto"/>
      </w:pPr>
      <w:r w:rsidRPr="00355157">
        <w:t>Health Benefits</w:t>
      </w:r>
    </w:p>
    <w:p w14:paraId="34B76BCE" w14:textId="77777777" w:rsidR="00332896" w:rsidRDefault="00332896" w:rsidP="00332896">
      <w:pPr>
        <w:pStyle w:val="ListParagraph"/>
        <w:numPr>
          <w:ilvl w:val="0"/>
          <w:numId w:val="40"/>
        </w:numPr>
        <w:spacing w:after="0" w:line="240" w:lineRule="auto"/>
      </w:pPr>
      <w:r w:rsidRPr="00355157">
        <w:t>Flexible Spending Accounts</w:t>
      </w:r>
    </w:p>
    <w:p w14:paraId="7BAF8A2F" w14:textId="77777777" w:rsidR="00332896" w:rsidRDefault="00332896" w:rsidP="00332896">
      <w:pPr>
        <w:pStyle w:val="ListParagraph"/>
        <w:numPr>
          <w:ilvl w:val="0"/>
          <w:numId w:val="40"/>
        </w:numPr>
        <w:spacing w:after="0" w:line="240" w:lineRule="auto"/>
      </w:pPr>
      <w:r w:rsidRPr="00355157">
        <w:t>Dental and Vision Benefits</w:t>
      </w:r>
    </w:p>
    <w:p w14:paraId="185530CD" w14:textId="77777777" w:rsidR="00332896" w:rsidRDefault="00332896" w:rsidP="00332896">
      <w:pPr>
        <w:pStyle w:val="ListParagraph"/>
        <w:numPr>
          <w:ilvl w:val="0"/>
          <w:numId w:val="40"/>
        </w:numPr>
        <w:spacing w:after="0" w:line="240" w:lineRule="auto"/>
      </w:pPr>
      <w:r w:rsidRPr="00355157">
        <w:t>Thrift Savings Plan</w:t>
      </w:r>
    </w:p>
    <w:p w14:paraId="173DE88A" w14:textId="77777777" w:rsidR="00332896" w:rsidRPr="00C328A4" w:rsidRDefault="00332896" w:rsidP="00332896">
      <w:pPr>
        <w:pStyle w:val="ListParagraph"/>
        <w:numPr>
          <w:ilvl w:val="0"/>
          <w:numId w:val="40"/>
        </w:numPr>
        <w:spacing w:after="0" w:line="240" w:lineRule="auto"/>
      </w:pPr>
      <w:r w:rsidRPr="00355157">
        <w:t>Spillover Method for TSP Catch-Up Contributions</w:t>
      </w:r>
    </w:p>
    <w:p w14:paraId="3D0EB539" w14:textId="77777777" w:rsidR="00332896" w:rsidRDefault="00332896" w:rsidP="00332896">
      <w:pPr>
        <w:pStyle w:val="ListParagraph"/>
        <w:numPr>
          <w:ilvl w:val="0"/>
          <w:numId w:val="40"/>
        </w:numPr>
        <w:spacing w:line="240" w:lineRule="auto"/>
      </w:pPr>
      <w:r w:rsidRPr="00355157">
        <w:t>Federal Employees Group Life Insurance (FEGLI)</w:t>
      </w:r>
    </w:p>
    <w:p w14:paraId="75960168" w14:textId="77777777" w:rsidR="00332896" w:rsidRPr="00B642F5" w:rsidRDefault="00332896" w:rsidP="00332896">
      <w:pPr>
        <w:pStyle w:val="Heading2"/>
      </w:pPr>
      <w:hyperlink r:id="rId13" w:anchor="cfc" w:history="1">
        <w:r w:rsidRPr="00F156C6">
          <w:rPr>
            <w:rStyle w:val="Hyperlink"/>
          </w:rPr>
          <w:t>Combined Federal Campaign</w:t>
        </w:r>
      </w:hyperlink>
    </w:p>
    <w:p w14:paraId="6272ECCB" w14:textId="77777777" w:rsidR="00332896" w:rsidRPr="00332896" w:rsidRDefault="00332896" w:rsidP="00332896">
      <w:pPr>
        <w:pStyle w:val="ListParagraph"/>
        <w:numPr>
          <w:ilvl w:val="0"/>
          <w:numId w:val="41"/>
        </w:numPr>
        <w:spacing w:before="120" w:line="240" w:lineRule="auto"/>
        <w:rPr>
          <w:b/>
          <w:bCs/>
          <w:color w:val="201F1E"/>
          <w:bdr w:val="none" w:sz="0" w:space="0" w:color="auto" w:frame="1"/>
        </w:rPr>
      </w:pPr>
      <w:r w:rsidRPr="00332896">
        <w:rPr>
          <w:b/>
          <w:bCs/>
          <w:color w:val="201F1E"/>
          <w:bdr w:val="none" w:sz="0" w:space="0" w:color="auto" w:frame="1"/>
        </w:rPr>
        <w:t xml:space="preserve">Please review the </w:t>
      </w:r>
      <w:hyperlink r:id="rId14" w:history="1">
        <w:r w:rsidRPr="00332896">
          <w:rPr>
            <w:rStyle w:val="Hyperlink"/>
            <w:b/>
            <w:bCs/>
            <w:bdr w:val="none" w:sz="0" w:space="0" w:color="auto" w:frame="1"/>
          </w:rPr>
          <w:t>HR Guide - End-of-Year Payroll Reminders</w:t>
        </w:r>
      </w:hyperlink>
      <w:r w:rsidRPr="00332896">
        <w:rPr>
          <w:b/>
          <w:bCs/>
          <w:color w:val="201F1E"/>
          <w:bdr w:val="none" w:sz="0" w:space="0" w:color="auto" w:frame="1"/>
        </w:rPr>
        <w:t>.</w:t>
      </w:r>
    </w:p>
    <w:p w14:paraId="039474AE" w14:textId="7E2D728A" w:rsidR="00C159DE" w:rsidRDefault="00C159DE" w:rsidP="000C4749">
      <w:pPr>
        <w:pBdr>
          <w:bottom w:val="single" w:sz="12" w:space="1" w:color="auto"/>
        </w:pBdr>
      </w:pPr>
    </w:p>
    <w:p w14:paraId="714CED88" w14:textId="19EF3F40" w:rsidR="00C159DE" w:rsidRPr="00C159DE" w:rsidRDefault="008077ED" w:rsidP="00C159DE">
      <w:pPr>
        <w:pStyle w:val="Heading2"/>
      </w:pPr>
      <w:r>
        <w:t>Find out more:</w:t>
      </w:r>
    </w:p>
    <w:p w14:paraId="70A5494B" w14:textId="77777777" w:rsidR="00332896" w:rsidRPr="00901026" w:rsidRDefault="00332896" w:rsidP="00332896">
      <w:pPr>
        <w:pStyle w:val="ListParagraph"/>
        <w:widowControl w:val="0"/>
        <w:numPr>
          <w:ilvl w:val="0"/>
          <w:numId w:val="35"/>
        </w:numPr>
        <w:spacing w:after="180" w:line="240" w:lineRule="auto"/>
      </w:pPr>
      <w:hyperlink r:id="rId15" w:history="1">
        <w:r w:rsidRPr="00901026">
          <w:rPr>
            <w:rStyle w:val="Hyperlink"/>
          </w:rPr>
          <w:t>HR Guide - End-of-Year Payroll Reminders</w:t>
        </w:r>
      </w:hyperlink>
    </w:p>
    <w:p w14:paraId="506B38BE" w14:textId="77777777" w:rsidR="00C159DE" w:rsidRDefault="00C159DE" w:rsidP="00C159DE">
      <w:pPr>
        <w:pStyle w:val="Heading2"/>
      </w:pPr>
      <w:r>
        <w:t>Questions?</w:t>
      </w:r>
    </w:p>
    <w:p w14:paraId="0C7ABF4B" w14:textId="611461E4" w:rsidR="00045D30" w:rsidRPr="00C159DE" w:rsidRDefault="008077ED" w:rsidP="00C159DE">
      <w:r>
        <w:t>P</w:t>
      </w:r>
      <w:r w:rsidR="00C159DE" w:rsidRPr="00C159DE">
        <w:t xml:space="preserve">lease contact your </w:t>
      </w:r>
      <w:hyperlink r:id="rId16" w:history="1">
        <w:r w:rsidR="00C159DE" w:rsidRPr="00C159DE">
          <w:rPr>
            <w:rStyle w:val="Hyperlink"/>
          </w:rPr>
          <w:t>Servicing HR Benefits</w:t>
        </w:r>
        <w:r>
          <w:rPr>
            <w:rStyle w:val="Hyperlink"/>
          </w:rPr>
          <w:t xml:space="preserve"> Team</w:t>
        </w:r>
      </w:hyperlink>
      <w:r w:rsidR="00C159DE" w:rsidRPr="00C159DE">
        <w:t>.</w:t>
      </w:r>
    </w:p>
    <w:sectPr w:rsidR="00045D30" w:rsidRPr="00C159D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273"/>
    <w:multiLevelType w:val="hybridMultilevel"/>
    <w:tmpl w:val="60B68F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7D702B0"/>
    <w:multiLevelType w:val="hybridMultilevel"/>
    <w:tmpl w:val="7BC8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605E"/>
    <w:multiLevelType w:val="hybridMultilevel"/>
    <w:tmpl w:val="662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6D76"/>
    <w:multiLevelType w:val="hybridMultilevel"/>
    <w:tmpl w:val="31E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C79A8"/>
    <w:multiLevelType w:val="hybridMultilevel"/>
    <w:tmpl w:val="F878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43C5"/>
    <w:multiLevelType w:val="hybridMultilevel"/>
    <w:tmpl w:val="C36EE79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B1E75AB"/>
    <w:multiLevelType w:val="hybridMultilevel"/>
    <w:tmpl w:val="CBEA84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DA46082"/>
    <w:multiLevelType w:val="hybridMultilevel"/>
    <w:tmpl w:val="4E76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36E2A"/>
    <w:multiLevelType w:val="hybridMultilevel"/>
    <w:tmpl w:val="FAD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3325"/>
    <w:multiLevelType w:val="hybridMultilevel"/>
    <w:tmpl w:val="6D92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3CC7"/>
    <w:multiLevelType w:val="hybridMultilevel"/>
    <w:tmpl w:val="213E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E6DAE"/>
    <w:multiLevelType w:val="hybridMultilevel"/>
    <w:tmpl w:val="D60C16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2C4B79F4"/>
    <w:multiLevelType w:val="multilevel"/>
    <w:tmpl w:val="A89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E1526"/>
    <w:multiLevelType w:val="hybridMultilevel"/>
    <w:tmpl w:val="FB32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376DE"/>
    <w:multiLevelType w:val="hybridMultilevel"/>
    <w:tmpl w:val="D04E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F4947"/>
    <w:multiLevelType w:val="hybridMultilevel"/>
    <w:tmpl w:val="D13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67E99"/>
    <w:multiLevelType w:val="hybridMultilevel"/>
    <w:tmpl w:val="2602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B01E9"/>
    <w:multiLevelType w:val="hybridMultilevel"/>
    <w:tmpl w:val="EE0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33AA7"/>
    <w:multiLevelType w:val="hybridMultilevel"/>
    <w:tmpl w:val="CC9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57B28"/>
    <w:multiLevelType w:val="hybridMultilevel"/>
    <w:tmpl w:val="024A50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3F7D7201"/>
    <w:multiLevelType w:val="hybridMultilevel"/>
    <w:tmpl w:val="A10E1BA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44967C33"/>
    <w:multiLevelType w:val="hybridMultilevel"/>
    <w:tmpl w:val="2BC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04DE0"/>
    <w:multiLevelType w:val="hybridMultilevel"/>
    <w:tmpl w:val="8A06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44017"/>
    <w:multiLevelType w:val="hybridMultilevel"/>
    <w:tmpl w:val="C5CC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347BC"/>
    <w:multiLevelType w:val="hybridMultilevel"/>
    <w:tmpl w:val="468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F11D6"/>
    <w:multiLevelType w:val="hybridMultilevel"/>
    <w:tmpl w:val="F1A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D4917"/>
    <w:multiLevelType w:val="multilevel"/>
    <w:tmpl w:val="58B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5769C4"/>
    <w:multiLevelType w:val="multilevel"/>
    <w:tmpl w:val="977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84127A"/>
    <w:multiLevelType w:val="hybridMultilevel"/>
    <w:tmpl w:val="1B7489C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32B3A98"/>
    <w:multiLevelType w:val="hybridMultilevel"/>
    <w:tmpl w:val="17F6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B2D38"/>
    <w:multiLevelType w:val="hybridMultilevel"/>
    <w:tmpl w:val="D804BA1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6" w15:restartNumberingAfterBreak="0">
    <w:nsid w:val="68E6023C"/>
    <w:multiLevelType w:val="hybridMultilevel"/>
    <w:tmpl w:val="D284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F2985"/>
    <w:multiLevelType w:val="hybridMultilevel"/>
    <w:tmpl w:val="3386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5984"/>
    <w:multiLevelType w:val="hybridMultilevel"/>
    <w:tmpl w:val="B8BA3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C44460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39"/>
  </w:num>
  <w:num w:numId="4">
    <w:abstractNumId w:val="4"/>
  </w:num>
  <w:num w:numId="5">
    <w:abstractNumId w:val="21"/>
  </w:num>
  <w:num w:numId="6">
    <w:abstractNumId w:val="40"/>
  </w:num>
  <w:num w:numId="7">
    <w:abstractNumId w:val="28"/>
  </w:num>
  <w:num w:numId="8">
    <w:abstractNumId w:val="0"/>
  </w:num>
  <w:num w:numId="9">
    <w:abstractNumId w:val="6"/>
  </w:num>
  <w:num w:numId="10">
    <w:abstractNumId w:val="23"/>
  </w:num>
  <w:num w:numId="11">
    <w:abstractNumId w:val="33"/>
  </w:num>
  <w:num w:numId="12">
    <w:abstractNumId w:val="8"/>
  </w:num>
  <w:num w:numId="13">
    <w:abstractNumId w:val="22"/>
  </w:num>
  <w:num w:numId="14">
    <w:abstractNumId w:val="27"/>
  </w:num>
  <w:num w:numId="15">
    <w:abstractNumId w:val="24"/>
  </w:num>
  <w:num w:numId="16">
    <w:abstractNumId w:val="2"/>
  </w:num>
  <w:num w:numId="17">
    <w:abstractNumId w:val="11"/>
  </w:num>
  <w:num w:numId="18">
    <w:abstractNumId w:val="17"/>
  </w:num>
  <w:num w:numId="19">
    <w:abstractNumId w:val="32"/>
  </w:num>
  <w:num w:numId="20">
    <w:abstractNumId w:val="13"/>
  </w:num>
  <w:num w:numId="21">
    <w:abstractNumId w:val="31"/>
  </w:num>
  <w:num w:numId="22">
    <w:abstractNumId w:val="3"/>
  </w:num>
  <w:num w:numId="23">
    <w:abstractNumId w:val="9"/>
  </w:num>
  <w:num w:numId="24">
    <w:abstractNumId w:val="30"/>
  </w:num>
  <w:num w:numId="25">
    <w:abstractNumId w:val="29"/>
  </w:num>
  <w:num w:numId="26">
    <w:abstractNumId w:val="10"/>
  </w:num>
  <w:num w:numId="27">
    <w:abstractNumId w:val="1"/>
  </w:num>
  <w:num w:numId="28">
    <w:abstractNumId w:val="15"/>
  </w:num>
  <w:num w:numId="29">
    <w:abstractNumId w:val="38"/>
  </w:num>
  <w:num w:numId="30">
    <w:abstractNumId w:val="26"/>
  </w:num>
  <w:num w:numId="31">
    <w:abstractNumId w:val="16"/>
  </w:num>
  <w:num w:numId="32">
    <w:abstractNumId w:val="20"/>
  </w:num>
  <w:num w:numId="33">
    <w:abstractNumId w:val="12"/>
  </w:num>
  <w:num w:numId="34">
    <w:abstractNumId w:val="7"/>
  </w:num>
  <w:num w:numId="35">
    <w:abstractNumId w:val="34"/>
  </w:num>
  <w:num w:numId="36">
    <w:abstractNumId w:val="35"/>
  </w:num>
  <w:num w:numId="37">
    <w:abstractNumId w:val="25"/>
  </w:num>
  <w:num w:numId="38">
    <w:abstractNumId w:val="37"/>
  </w:num>
  <w:num w:numId="39">
    <w:abstractNumId w:val="19"/>
  </w:num>
  <w:num w:numId="40">
    <w:abstractNumId w:val="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45D30"/>
    <w:rsid w:val="000C4749"/>
    <w:rsid w:val="0025376F"/>
    <w:rsid w:val="002A5F74"/>
    <w:rsid w:val="002A6F62"/>
    <w:rsid w:val="002D0065"/>
    <w:rsid w:val="002D6E89"/>
    <w:rsid w:val="00301A8B"/>
    <w:rsid w:val="00302217"/>
    <w:rsid w:val="0030651E"/>
    <w:rsid w:val="00315188"/>
    <w:rsid w:val="00332896"/>
    <w:rsid w:val="003D5C06"/>
    <w:rsid w:val="0040210A"/>
    <w:rsid w:val="0043317C"/>
    <w:rsid w:val="0043393F"/>
    <w:rsid w:val="00442A7B"/>
    <w:rsid w:val="00477D32"/>
    <w:rsid w:val="004E2323"/>
    <w:rsid w:val="00541BBB"/>
    <w:rsid w:val="00596568"/>
    <w:rsid w:val="00693685"/>
    <w:rsid w:val="006D6137"/>
    <w:rsid w:val="008077ED"/>
    <w:rsid w:val="00807E35"/>
    <w:rsid w:val="008646C2"/>
    <w:rsid w:val="00867991"/>
    <w:rsid w:val="00872371"/>
    <w:rsid w:val="008C6C7C"/>
    <w:rsid w:val="009727AA"/>
    <w:rsid w:val="00975025"/>
    <w:rsid w:val="00987B8F"/>
    <w:rsid w:val="009C2873"/>
    <w:rsid w:val="009E140C"/>
    <w:rsid w:val="00A94A79"/>
    <w:rsid w:val="00AA5D71"/>
    <w:rsid w:val="00AB3378"/>
    <w:rsid w:val="00B41F12"/>
    <w:rsid w:val="00B93764"/>
    <w:rsid w:val="00BA0E28"/>
    <w:rsid w:val="00BF6488"/>
    <w:rsid w:val="00C07CE1"/>
    <w:rsid w:val="00C159DE"/>
    <w:rsid w:val="00C273DE"/>
    <w:rsid w:val="00C563BA"/>
    <w:rsid w:val="00CD3705"/>
    <w:rsid w:val="00CE3A11"/>
    <w:rsid w:val="00D42D19"/>
    <w:rsid w:val="00D62361"/>
    <w:rsid w:val="00DA6A88"/>
    <w:rsid w:val="00E1219F"/>
    <w:rsid w:val="00E8341E"/>
    <w:rsid w:val="00EA21D5"/>
    <w:rsid w:val="00F44723"/>
    <w:rsid w:val="00F85CBA"/>
    <w:rsid w:val="00FB2A75"/>
    <w:rsid w:val="00FC0FCA"/>
    <w:rsid w:val="00FC5918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9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42A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45D30"/>
    <w:pPr>
      <w:widowControl w:val="0"/>
      <w:spacing w:after="0" w:line="240" w:lineRule="auto"/>
    </w:pPr>
    <w:rPr>
      <w:rFonts w:ascii="Verdana" w:eastAsia="Verdana" w:hAnsi="Verdana" w:cs="Verdana"/>
      <w:color w:val="222222"/>
      <w:lang w:val="en"/>
    </w:rPr>
  </w:style>
  <w:style w:type="table" w:styleId="TableGrid">
    <w:name w:val="Table Grid"/>
    <w:basedOn w:val="TableNormal"/>
    <w:uiPriority w:val="39"/>
    <w:rsid w:val="0004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9DE"/>
    <w:rPr>
      <w:rFonts w:asciiTheme="majorHAnsi" w:eastAsiaTheme="majorEastAsia" w:hAnsiTheme="majorHAnsi" w:cstheme="majorBidi"/>
      <w:color w:val="2F5496" w:themeColor="accent1" w:themeShade="BF"/>
      <w:sz w:val="24"/>
      <w:lang w:val="en"/>
    </w:rPr>
  </w:style>
  <w:style w:type="paragraph" w:customStyle="1" w:styleId="paragraph">
    <w:name w:val="paragraph"/>
    <w:basedOn w:val="Normal"/>
    <w:rsid w:val="00FC59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FC5918"/>
  </w:style>
  <w:style w:type="character" w:customStyle="1" w:styleId="scxw207804442">
    <w:name w:val="scxw207804442"/>
    <w:basedOn w:val="DefaultParagraphFont"/>
    <w:rsid w:val="00FC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c.doi.gov/HRD/HR-Guide-End-of-Year-Payroll-Reminders" TargetMode="External"/><Relationship Id="rId13" Type="http://schemas.openxmlformats.org/officeDocument/2006/relationships/hyperlink" Target="https://ibc.doi.gov/HRD/HR-Guide-End-of-Year-Payroll-Remin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bc.doi.gov/HRD/HR-Guide-End-of-Year-Payroll-Remind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bc.doi.gov/HRD/hrod-org-chart-and-contac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c.doi.gov/HRD/HR-Guide-End-of-Year-Payroll-Remind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ibc.doi.gov/HRD/HR-Guide-End-of-Year-Payroll-Reminders" TargetMode="External"/><Relationship Id="rId10" Type="http://schemas.openxmlformats.org/officeDocument/2006/relationships/hyperlink" Target="https://ibc.doi.gov/HRD/HR-Guide-End-of-Year-Payroll-Remind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bc.doi.gov/HRD/HR-Guide-End-of-Year-Payroll-Reminders" TargetMode="External"/><Relationship Id="rId14" Type="http://schemas.openxmlformats.org/officeDocument/2006/relationships/hyperlink" Target="https://ibc.doi.gov/HRD/HR-Guide-End-of-Year-Payroll-Remi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1499</Characters>
  <Application>Microsoft Office Word</Application>
  <DocSecurity>0</DocSecurity>
  <Lines>27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3</cp:revision>
  <dcterms:created xsi:type="dcterms:W3CDTF">2022-11-21T17:16:00Z</dcterms:created>
  <dcterms:modified xsi:type="dcterms:W3CDTF">2022-11-21T17:17:00Z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